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C1-W2 — Younger Teacher Pack</w:t>
      </w:r>
    </w:p>
    <w:p>
      <w:pPr>
        <w:pStyle w:val="Subtitle"/>
        <w:jc w:val="center"/>
      </w:pPr>
      <w:r>
        <w:t>K–2 run sheet and activities</w:t>
      </w:r>
    </w:p>
    <w:p>
      <w:pPr>
        <w:spacing w:before="360"/>
        <w:jc w:val="center"/>
      </w:pPr>
      <w:r>
        <w:rPr>
          <w:rFonts w:ascii="Cambria" w:hAnsi="Cambria" w:eastAsia="Cambria" w:cs="Cambria"/>
          <w:b/>
          <w:color w:val="7A263A"/>
          <w:sz w:val="24"/>
        </w:rPr>
        <w:t>C1-W2 • I Am Not This Body</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2.13</w:t>
      </w:r>
    </w:p>
    <w:p>
      <w:r>
        <w:t>Source URL: https://vedabase.io/en/library/bg/2/13/</w:t>
      </w:r>
    </w:p>
    <w:p>
      <w:r>
        <w:br w:type="page"/>
      </w:r>
    </w:p>
    <w:p>
      <w:pPr>
        <w:pStyle w:val="Heading1"/>
      </w:pPr>
      <w:r>
        <w:t>Younger Teacher Run Sheet</w:t>
      </w:r>
    </w:p>
    <w:p>
      <w:pPr>
        <w:pStyle w:val="KUTUMBARights"/>
      </w:pPr>
      <w:r>
        <w:t>Canonical source: 11-weekly-program-library/first-six-months/c1-w2-i-am-not-this-body/teacher/YOUNGER-TEACHER-GUIDE-V13.md  •  SHA-256: 04b4d717f3c16929b691aa36c96621c49ff7ccfccfabf52badfcc82bd9d09c91</w:t>
      </w:r>
    </w:p>
    <w:p>
      <w:r>
        <w:rPr>
          <w:b/>
        </w:rPr>
        <w:t>Week:</w:t>
      </w:r>
      <w:r>
        <w:t xml:space="preserve"> I Am Not This Body </w:t>
      </w:r>
      <w:r>
        <w:rPr>
          <w:b/>
        </w:rPr>
        <w:t>Primary:</w:t>
      </w:r>
      <w:r>
        <w:t xml:space="preserve"> BG 2.13 — https://vedabase.io/en/library/bg/2/13/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Children experience that the </w:t>
      </w:r>
      <w:r>
        <w:rPr>
          <w:b/>
        </w:rPr>
        <w:t>body changes</w:t>
      </w:r>
      <w:r>
        <w:t xml:space="preserve"> while the </w:t>
      </w:r>
      <w:r>
        <w:rPr>
          <w:b/>
        </w:rPr>
        <w:t>conscious “I” continues</w:t>
      </w:r>
      <w:r>
        <w:t>. They practice kind body-speech and take home a “care without confusing” cue card.</w:t>
      </w:r>
    </w:p>
    <w:p>
      <w:pPr>
        <w:pStyle w:val="Heading2"/>
      </w:pPr>
      <w:r>
        <w:t>Exact memory phrase</w:t>
      </w:r>
    </w:p>
    <w:p>
      <w:pPr>
        <w:pStyle w:val="Quote"/>
      </w:pPr>
      <w:r>
        <w:t>My body changes; I continue as the conscious self.</w:t>
      </w:r>
    </w:p>
    <w:p>
      <w:pPr>
        <w:pStyle w:val="Heading2"/>
      </w:pPr>
      <w:r>
        <w:t>Teacher background (2 minutes to review)</w:t>
      </w:r>
    </w:p>
    <w:p>
      <w:pPr>
        <w:pStyle w:val="ListBullet"/>
      </w:pPr>
      <w:r>
        <w:rPr>
          <w:b/>
        </w:rPr>
        <w:t>KUTUMBA teaching meaning (adult wording):</w:t>
      </w:r>
      <w:r>
        <w:t xml:space="preserve"> Just as the embodied self passes through childhood, youth, and old age in one body, the sober person is not bewildered when the self passes to another body.</w:t>
      </w:r>
    </w:p>
    <w:p>
      <w:pPr>
        <w:pStyle w:val="ListBullet"/>
      </w:pPr>
      <w:r>
        <w:rPr>
          <w:b/>
        </w:rPr>
        <w:t>Child-facing paraphrase:</w:t>
      </w:r>
      <w:r>
        <w:t xml:space="preserve"> Your body grows and changes, like clothes that get bigger. You are still you — the person who can love Kṛṣṇa. We care for our bodies; we do not tease bodies.</w:t>
      </w:r>
    </w:p>
    <w:p>
      <w:pPr>
        <w:pStyle w:val="ListBullet"/>
      </w:pPr>
      <w:r>
        <w:rPr>
          <w:b/>
        </w:rPr>
        <w:t>Block misconceptions (child words):</w:t>
      </w:r>
    </w:p>
    <w:p>
      <w:pPr>
        <w:pStyle w:val="ListBullet"/>
      </w:pPr>
      <w:r>
        <w:t>“Photos / science prove the soul.”</w:t>
      </w:r>
    </w:p>
    <w:p>
      <w:pPr>
        <w:pStyle w:val="ListBullet"/>
      </w:pPr>
      <w:r>
        <w:t>“Bodies don’t matter — skip care.”</w:t>
      </w:r>
    </w:p>
    <w:p>
      <w:pPr>
        <w:pStyle w:val="ListBullet"/>
      </w:pPr>
      <w:r>
        <w:t>“Appearance jokes are fine.”</w:t>
      </w:r>
    </w:p>
    <w:p>
      <w:pPr>
        <w:pStyle w:val="ListBullet"/>
      </w:pPr>
      <w:r>
        <w:rPr>
          <w:b/>
        </w:rPr>
        <w:t>Do not:</w:t>
      </w:r>
      <w:r>
        <w:t xml:space="preserve"> invent Kṛṣṇa–Arjuna dialogue; use death scare; dump full reincarnation ontology (preview only); force body-shame stories.</w:t>
      </w:r>
    </w:p>
    <w:p>
      <w:pPr>
        <w:pStyle w:val="Heading2"/>
      </w:pPr>
      <w:r>
        <w:t>Materials</w:t>
      </w:r>
    </w:p>
    <w:p>
      <w:pPr>
        <w:pStyle w:val="ListBullet"/>
      </w:pPr>
      <w:r>
        <w:t>Three life-stage picture cards (child / youth / elder — respectful drawings, not real family photos of students)</w:t>
      </w:r>
    </w:p>
    <w:p>
      <w:pPr>
        <w:pStyle w:val="ListBullet"/>
      </w:pPr>
      <w:r>
        <w:t>Soft scarf or fabric square for “changing garments” demo</w:t>
      </w:r>
    </w:p>
    <w:p>
      <w:pPr>
        <w:pStyle w:val="ListBullet"/>
      </w:pPr>
      <w:r>
        <w:t>Card stock for Care / Self cue cards</w:t>
      </w:r>
    </w:p>
    <w:p>
      <w:pPr>
        <w:pStyle w:val="ListBullet"/>
      </w:pPr>
      <w:r>
        <w:t>Crayons / markers</w:t>
      </w:r>
    </w:p>
    <w:p>
      <w:pPr>
        <w:pStyle w:val="ListBullet"/>
      </w:pPr>
      <w:r>
        <w:t xml:space="preserve">Printed </w:t>
      </w:r>
      <w:r>
        <w:rPr>
          <w:rFonts w:ascii="Consolas" w:hAnsi="Consolas"/>
          <w:color w:val="7A263A"/>
          <w:sz w:val="18"/>
        </w:rPr>
        <w:t>visuals/v13/</w:t>
      </w:r>
      <w:r>
        <w:t xml:space="preserve"> if available</w:t>
      </w:r>
    </w:p>
    <w:p>
      <w:pPr>
        <w:pStyle w:val="ListBullet"/>
      </w:pPr>
      <w:r>
        <w:t>Soft toss object for backup</w:t>
      </w:r>
    </w:p>
    <w:p>
      <w:pPr>
        <w:pStyle w:val="ListBullet"/>
      </w:pPr>
      <w:r>
        <w:t>Calm-corner chair</w:t>
      </w:r>
    </w:p>
    <w:p>
      <w:pPr>
        <w:pStyle w:val="Heading2"/>
      </w:pPr>
      <w:r>
        <w:t>Room setup</w:t>
      </w:r>
    </w:p>
    <w:p>
      <w:r>
        <w:t>Circle on the floor; picture cards in order on a low stand; aisles clear for Grow-and-Freeze movement.</w:t>
      </w:r>
    </w:p>
    <w:p>
      <w:pPr>
        <w:pStyle w:val="Heading2"/>
      </w:pPr>
      <w:r>
        <w:t>Minute-by-minute executable plan</w:t>
      </w:r>
    </w:p>
    <w:p>
      <w:pPr>
        <w:pStyle w:val="Heading3"/>
      </w:pPr>
      <w:r>
        <w:t>0–5 min — Opening and recall</w:t>
      </w:r>
    </w:p>
    <w:p>
      <w:pPr>
        <w:ind w:left="288"/>
      </w:pPr>
      <w:r>
        <w:t>1. Welcome by name; feet on floor; hands in lap.</w:t>
      </w:r>
    </w:p>
    <w:p>
      <w:pPr>
        <w:ind w:left="288"/>
      </w:pPr>
      <w:r>
        <w:t>2. Show child → youth → elder cards quickly: “Bodies change.”</w:t>
      </w:r>
    </w:p>
    <w:p>
      <w:pPr>
        <w:ind w:left="288"/>
      </w:pPr>
      <w:r>
        <w:t xml:space="preserve">3. Echo memory phrase three times: </w:t>
      </w:r>
      <w:r>
        <w:rPr>
          <w:i/>
        </w:rPr>
        <w:t>My body changes; / I continue / as the conscious self.</w:t>
      </w:r>
    </w:p>
    <w:p>
      <w:pPr>
        <w:ind w:left="288"/>
      </w:pPr>
      <w:r>
        <w:t>4. Ask: “Did anyone’s shoes get too small this year?” Laugh gently; connect to change.</w:t>
      </w:r>
    </w:p>
    <w:p>
      <w:pPr>
        <w:pStyle w:val="Heading3"/>
      </w:pPr>
      <w:r>
        <w:t>5–13 min — Story script (paraphrase only; ~8 minutes)</w:t>
      </w:r>
    </w:p>
    <w:p>
      <w:r>
        <w:rPr>
          <w:b/>
        </w:rPr>
        <w:t>Say exactly this spine (do not invent deity dialogue):</w:t>
      </w:r>
    </w:p>
    <w:p>
      <w:pPr>
        <w:pStyle w:val="Quote"/>
      </w:pPr>
      <w:r>
        <w:t>Long ago, Arjuna felt heavy sadness about people he loved. His feelings were tangled with bodies and relationships. He asked Kṛṣṇa to teach him what was true. Kṛṣṇa taught that just as we pass through childhood, youth, and older age in one body, the sober person is not confused when the conscious self continues beyond one body’s stage. Clothes change; the person who wears them continues. Photos of a baby and a grown child show change — and still one “I.” We care for our bodies like a driver cares for a car. We do not call bodies trash. We do not tease how someone looks. My body changes; I continue as the conscious self.</w:t>
      </w:r>
    </w:p>
    <w:p>
      <w:r>
        <w:rPr>
          <w:b/>
        </w:rPr>
        <w:t>Story boundaries:</w:t>
      </w:r>
      <w:r>
        <w:t xml:space="preserve"> Paraphrase BG 2.13 and gentle BG 2.22 garment support only. No invented quotes. No gore. No “your body is garbage.” Full ontology waits for W3.</w:t>
      </w:r>
    </w:p>
    <w:p>
      <w:pPr>
        <w:pStyle w:val="Heading3"/>
      </w:pPr>
      <w:r>
        <w:t>13–16 min — Three wonder questions</w:t>
      </w:r>
    </w:p>
    <w:p>
      <w:pPr>
        <w:ind w:left="288"/>
      </w:pPr>
      <w:r>
        <w:t>1. What changes as we grow? (</w:t>
      </w:r>
      <w:r>
        <w:rPr>
          <w:b/>
        </w:rPr>
        <w:t>Body</w:t>
      </w:r>
      <w:r>
        <w:t xml:space="preserve"> / shoes / height)</w:t>
      </w:r>
    </w:p>
    <w:p>
      <w:pPr>
        <w:ind w:left="288"/>
      </w:pPr>
      <w:r>
        <w:t>2. Who continues — the person who can love and choose kind words? (</w:t>
      </w:r>
      <w:r>
        <w:rPr>
          <w:b/>
        </w:rPr>
        <w:t>I</w:t>
      </w:r>
      <w:r>
        <w:t xml:space="preserve"> / conscious self)</w:t>
      </w:r>
    </w:p>
    <w:p>
      <w:pPr>
        <w:ind w:left="288"/>
      </w:pPr>
      <w:r>
        <w:t>3. What is one kind thing to say (or not say) about someone’s body?</w:t>
      </w:r>
    </w:p>
    <w:p>
      <w:r>
        <w:t>Accept short answers. Affirm effort.</w:t>
      </w:r>
    </w:p>
    <w:p>
      <w:pPr>
        <w:pStyle w:val="Heading3"/>
      </w:pPr>
      <w:r>
        <w:t>16–24 min — Movement game: Grow and Freeze (steps)</w:t>
      </w:r>
    </w:p>
    <w:p>
      <w:pPr>
        <w:ind w:left="288"/>
      </w:pPr>
      <w:r>
        <w:t>1. Spread children in a safe open space.</w:t>
      </w:r>
    </w:p>
    <w:p>
      <w:pPr>
        <w:ind w:left="288"/>
      </w:pPr>
      <w:r>
        <w:t xml:space="preserve">2. Teacher calls </w:t>
      </w:r>
      <w:r>
        <w:rPr>
          <w:b/>
        </w:rPr>
        <w:t>Grow!</w:t>
      </w:r>
      <w:r>
        <w:t xml:space="preserve"> — children stretch tall slowly (body changing).</w:t>
      </w:r>
    </w:p>
    <w:p>
      <w:pPr>
        <w:ind w:left="288"/>
      </w:pPr>
      <w:r>
        <w:t xml:space="preserve">3. Teacher calls </w:t>
      </w:r>
      <w:r>
        <w:rPr>
          <w:b/>
        </w:rPr>
        <w:t>Freeze!</w:t>
      </w:r>
      <w:r>
        <w:t xml:space="preserve"> — freeze; whisper memory phrase.</w:t>
      </w:r>
    </w:p>
    <w:p>
      <w:pPr>
        <w:ind w:left="288"/>
      </w:pPr>
      <w:r>
        <w:t xml:space="preserve">4. Teacher calls </w:t>
      </w:r>
      <w:r>
        <w:rPr>
          <w:b/>
        </w:rPr>
        <w:t>Kind hands!</w:t>
      </w:r>
      <w:r>
        <w:t xml:space="preserve"> — hands on heart; smile at a neighbor (no touching without consent — wave is fine).</w:t>
      </w:r>
    </w:p>
    <w:p>
      <w:pPr>
        <w:ind w:left="288"/>
      </w:pPr>
      <w:r>
        <w:t>5. Play three rounds. On round three, show two cards: (A) tease about looks; (B) kind words. On Freeze, children point to B.</w:t>
      </w:r>
    </w:p>
    <w:p>
      <w:pPr>
        <w:ind w:left="288"/>
      </w:pPr>
      <w:r>
        <w:t>6. End seated; echo memory phrase once.</w:t>
      </w:r>
    </w:p>
    <w:p>
      <w:pPr>
        <w:pStyle w:val="Heading3"/>
      </w:pPr>
      <w:r>
        <w:t>24–32 min — Craft: Care / Self cue card (steps)</w:t>
      </w:r>
    </w:p>
    <w:p>
      <w:pPr>
        <w:ind w:left="288"/>
      </w:pPr>
      <w:r>
        <w:t>1. Give each child a folded card stock.</w:t>
      </w:r>
    </w:p>
    <w:p>
      <w:pPr>
        <w:ind w:left="288"/>
      </w:pPr>
      <w:r>
        <w:t xml:space="preserve">2. Outside left: draw a small body outline; label </w:t>
      </w:r>
      <w:r>
        <w:rPr>
          <w:b/>
        </w:rPr>
        <w:t>Care</w:t>
      </w:r>
      <w:r>
        <w:t>.</w:t>
      </w:r>
    </w:p>
    <w:p>
      <w:pPr>
        <w:ind w:left="288"/>
      </w:pPr>
      <w:r>
        <w:t xml:space="preserve">3. Outside right: draw a simple heart or “I”; label </w:t>
      </w:r>
      <w:r>
        <w:rPr>
          <w:b/>
        </w:rPr>
        <w:t>Self</w:t>
      </w:r>
      <w:r>
        <w:t>.</w:t>
      </w:r>
    </w:p>
    <w:p>
      <w:pPr>
        <w:ind w:left="288"/>
      </w:pPr>
      <w:r>
        <w:t xml:space="preserve">4. Inside, teacher/helper writes: </w:t>
      </w:r>
      <w:r>
        <w:rPr>
          <w:b/>
        </w:rPr>
        <w:t>My body changes; I continue as the conscious self.</w:t>
      </w:r>
    </w:p>
    <w:p>
      <w:pPr>
        <w:ind w:left="288"/>
      </w:pPr>
      <w:r>
        <w:t>5. On the back, child draws one kind body action (sleep, water, brush teeth) OR one kind speech bubble (“You’re a friend”).</w:t>
      </w:r>
    </w:p>
    <w:p>
      <w:pPr>
        <w:ind w:left="288"/>
      </w:pPr>
      <w:r>
        <w:t>6. Practice once: touch Care → touch Self while saying the phrase.</w:t>
      </w:r>
    </w:p>
    <w:p>
      <w:r>
        <w:t xml:space="preserve">Full printable steps also live in </w:t>
      </w:r>
      <w:r>
        <w:rPr>
          <w:rFonts w:ascii="Consolas" w:hAnsi="Consolas"/>
          <w:color w:val="7A263A"/>
          <w:sz w:val="18"/>
        </w:rPr>
        <w:t>activities/v13-younger/</w:t>
      </w:r>
      <w:r>
        <w:t>.</w:t>
      </w:r>
    </w:p>
    <w:p>
      <w:pPr>
        <w:pStyle w:val="Heading3"/>
      </w:pPr>
      <w:r>
        <w:t>32–35 min — Printable / coloring task</w:t>
      </w:r>
    </w:p>
    <w:p>
      <w:r>
        <w:t>Color line-art if time; otherwise keep cue card as take-home.</w:t>
      </w:r>
    </w:p>
    <w:p>
      <w:pPr>
        <w:pStyle w:val="Heading3"/>
      </w:pPr>
      <w:r>
        <w:t>35–38 min — Behavior redirects and quiet reset</w:t>
      </w:r>
    </w:p>
    <w:p>
      <w:pPr>
        <w:pStyle w:val="ListBullet"/>
      </w:pPr>
      <w:r>
        <w:rPr>
          <w:b/>
        </w:rPr>
        <w:t>Feet on floor</w:t>
      </w:r>
      <w:r>
        <w:t xml:space="preserve"> — “Feet visit the mat.”</w:t>
      </w:r>
    </w:p>
    <w:p>
      <w:pPr>
        <w:pStyle w:val="ListBullet"/>
      </w:pPr>
      <w:r>
        <w:rPr>
          <w:b/>
        </w:rPr>
        <w:t>Kind words</w:t>
      </w:r>
      <w:r>
        <w:t xml:space="preserve"> — “Use Care words.”</w:t>
      </w:r>
    </w:p>
    <w:p>
      <w:pPr>
        <w:pStyle w:val="ListBullet"/>
      </w:pPr>
      <w:r>
        <w:rPr>
          <w:b/>
        </w:rPr>
        <w:t>Toy rests</w:t>
      </w:r>
      <w:r>
        <w:t xml:space="preserve"> — “Toy naps on the shelf.”</w:t>
      </w:r>
    </w:p>
    <w:p>
      <w:pPr>
        <w:pStyle w:val="ListBullet"/>
      </w:pPr>
      <w:r>
        <w:rPr>
          <w:b/>
        </w:rPr>
        <w:t>Quiet reset</w:t>
      </w:r>
      <w:r>
        <w:t xml:space="preserve"> — calm corner with Care card; rejoin on Kind hands.</w:t>
      </w:r>
    </w:p>
    <w:p>
      <w:pPr>
        <w:pStyle w:val="Heading3"/>
      </w:pPr>
      <w:r>
        <w:t>38–40 min — Cleanup and parent handoff</w:t>
      </w:r>
    </w:p>
    <w:p>
      <w:pPr>
        <w:ind w:left="288"/>
      </w:pPr>
      <w:r>
        <w:t>1. Materials away; each child holds cue card.</w:t>
      </w:r>
    </w:p>
    <w:p>
      <w:pPr>
        <w:ind w:left="288"/>
      </w:pPr>
      <w:r>
        <w:t xml:space="preserve">2. Parent line:  </w:t>
      </w:r>
    </w:p>
    <w:p>
      <w:pPr>
        <w:pStyle w:val="Quote"/>
      </w:pPr>
      <w:r>
        <w:t>Memory: “My body changes; I continue as the conscious self.” Home cue: once daily — notice one body change or one kind body-speech; say the phrase.</w:t>
      </w:r>
    </w:p>
    <w:p>
      <w:pPr>
        <w:ind w:left="288"/>
      </w:pPr>
      <w:r>
        <w:t>1. No private teasing reports in the hallway.</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Appearance tease</w:t>
            </w:r>
          </w:p>
        </w:tc>
        <w:tc>
          <w:tcPr>
            <w:tcW w:type="dxa" w:w="3312"/>
            <w:tcMar>
              <w:top w:w="100" w:type="dxa"/>
              <w:start w:w="120" w:type="dxa"/>
              <w:bottom w:w="100" w:type="dxa"/>
              <w:end w:w="120" w:type="dxa"/>
            </w:tcMar>
            <w:vAlign w:val="top"/>
          </w:tcPr>
          <w:p>
            <w:r>
              <w:t>“Care words only.”</w:t>
            </w:r>
          </w:p>
        </w:tc>
        <w:tc>
          <w:tcPr>
            <w:tcW w:type="dxa" w:w="3312"/>
            <w:tcMar>
              <w:top w:w="100" w:type="dxa"/>
              <w:start w:w="120" w:type="dxa"/>
              <w:bottom w:w="100" w:type="dxa"/>
              <w:end w:w="120" w:type="dxa"/>
            </w:tcMar>
            <w:vAlign w:val="top"/>
          </w:tcPr>
          <w:p>
            <w:r>
              <w:t>Repair sentence</w:t>
            </w:r>
          </w:p>
        </w:tc>
      </w:tr>
      <w:tr>
        <w:tc>
          <w:tcPr>
            <w:tcW w:type="dxa" w:w="3312"/>
            <w:tcMar>
              <w:top w:w="100" w:type="dxa"/>
              <w:start w:w="120" w:type="dxa"/>
              <w:bottom w:w="100" w:type="dxa"/>
              <w:end w:w="120" w:type="dxa"/>
            </w:tcMar>
            <w:shd w:fill="FFF8E8"/>
            <w:vAlign w:val="top"/>
          </w:tcPr>
          <w:p>
            <w:r>
              <w:t>Running</w:t>
            </w:r>
          </w:p>
        </w:tc>
        <w:tc>
          <w:tcPr>
            <w:tcW w:type="dxa" w:w="3312"/>
            <w:tcMar>
              <w:top w:w="100" w:type="dxa"/>
              <w:start w:w="120" w:type="dxa"/>
              <w:bottom w:w="100" w:type="dxa"/>
              <w:end w:w="120" w:type="dxa"/>
            </w:tcMar>
            <w:shd w:fill="FFF8E8"/>
            <w:vAlign w:val="top"/>
          </w:tcPr>
          <w:p>
            <w:r>
              <w:t>“Freeze bodies.”</w:t>
            </w:r>
          </w:p>
        </w:tc>
        <w:tc>
          <w:tcPr>
            <w:tcW w:type="dxa" w:w="3312"/>
            <w:tcMar>
              <w:top w:w="100" w:type="dxa"/>
              <w:start w:w="120" w:type="dxa"/>
              <w:bottom w:w="100" w:type="dxa"/>
              <w:end w:w="120" w:type="dxa"/>
            </w:tcMar>
            <w:shd w:fill="FFF8E8"/>
            <w:vAlign w:val="top"/>
          </w:tcPr>
          <w:p>
            <w:r>
              <w:t>Freeze, walk</w:t>
            </w:r>
          </w:p>
        </w:tc>
      </w:tr>
      <w:tr>
        <w:tc>
          <w:tcPr>
            <w:tcW w:type="dxa" w:w="3312"/>
            <w:tcMar>
              <w:top w:w="100" w:type="dxa"/>
              <w:start w:w="120" w:type="dxa"/>
              <w:bottom w:w="100" w:type="dxa"/>
              <w:end w:w="120" w:type="dxa"/>
            </w:tcMar>
            <w:vAlign w:val="top"/>
          </w:tcPr>
          <w:p>
            <w:r>
              <w:t>Loud shout</w:t>
            </w:r>
          </w:p>
        </w:tc>
        <w:tc>
          <w:tcPr>
            <w:tcW w:type="dxa" w:w="3312"/>
            <w:tcMar>
              <w:top w:w="100" w:type="dxa"/>
              <w:start w:w="120" w:type="dxa"/>
              <w:bottom w:w="100" w:type="dxa"/>
              <w:end w:w="120" w:type="dxa"/>
            </w:tcMar>
            <w:vAlign w:val="top"/>
          </w:tcPr>
          <w:p>
            <w:r>
              <w:t>“Soft self voice.”</w:t>
            </w:r>
          </w:p>
        </w:tc>
        <w:tc>
          <w:tcPr>
            <w:tcW w:type="dxa" w:w="3312"/>
            <w:tcMar>
              <w:top w:w="100" w:type="dxa"/>
              <w:start w:w="120" w:type="dxa"/>
              <w:bottom w:w="100" w:type="dxa"/>
              <w:end w:w="120" w:type="dxa"/>
            </w:tcMar>
            <w:vAlign w:val="top"/>
          </w:tcPr>
          <w:p>
            <w:r>
              <w:t>Soft repeat</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w:t>
      </w:r>
    </w:p>
    <w:p>
      <w:pPr>
        <w:ind w:left="288"/>
      </w:pPr>
      <w:r>
        <w:t>1. Circle with soft toss object.</w:t>
      </w:r>
    </w:p>
    <w:p>
      <w:pPr>
        <w:ind w:left="288"/>
      </w:pPr>
      <w:r>
        <w:t>2. Catch → say “change” or “continue” or “kind.”</w:t>
      </w:r>
    </w:p>
    <w:p>
      <w:pPr>
        <w:ind w:left="288"/>
      </w:pPr>
      <w:r>
        <w:t>3. Three echoes of memory phrase.</w:t>
      </w:r>
    </w:p>
    <w:p>
      <w:pPr>
        <w:ind w:left="288"/>
      </w:pPr>
      <w:r>
        <w:t>4. Optional: wrap/unwrap scarf once as garment demo.</w:t>
      </w:r>
    </w:p>
    <w:p>
      <w:pPr>
        <w:pStyle w:val="Heading2"/>
      </w:pPr>
      <w:r>
        <w:t>What success looks like</w:t>
      </w:r>
    </w:p>
    <w:p>
      <w:pPr>
        <w:pStyle w:val="ListBullet"/>
      </w:pPr>
      <w:r>
        <w:t>Child can show Care vs Self on the card.</w:t>
      </w:r>
    </w:p>
    <w:p>
      <w:pPr>
        <w:pStyle w:val="ListBullet"/>
      </w:pPr>
      <w:r>
        <w:t>Child can echo the memory phrase.</w:t>
      </w:r>
    </w:p>
    <w:p>
      <w:pPr>
        <w:pStyle w:val="ListBullet"/>
      </w:pPr>
      <w:r>
        <w:t>Child can name one kind body-speech or care act.</w:t>
      </w:r>
    </w:p>
    <w:p>
      <w:pPr>
        <w:pStyle w:val="Heading2"/>
      </w:pPr>
      <w:r>
        <w:t>Boundaries</w:t>
      </w:r>
    </w:p>
    <w:p>
      <w:pPr>
        <w:pStyle w:val="ListBullet"/>
      </w:pPr>
      <w:r>
        <w:t>Snack/water only at main schedule (3:30).</w:t>
      </w:r>
    </w:p>
    <w:p>
      <w:pPr>
        <w:pStyle w:val="ListBullet"/>
      </w:pPr>
      <w:r>
        <w:t>No weekly meal language.</w:t>
      </w:r>
    </w:p>
    <w:p>
      <w:pPr>
        <w:pStyle w:val="ListBullet"/>
      </w:pPr>
      <w:r>
        <w:t>Psychology/photos are pedagogy — never “proof of the soul.”</w:t>
      </w:r>
    </w:p>
    <w:p>
      <w:pPr>
        <w:pStyle w:val="ListBullet"/>
      </w:pPr>
      <w:r>
        <w:t>No forced confession of home teasing.</w:t>
      </w:r>
    </w:p>
    <w:p>
      <w:r>
        <w:br w:type="page"/>
      </w:r>
    </w:p>
    <w:p>
      <w:pPr>
        <w:pStyle w:val="Heading1"/>
      </w:pPr>
      <w:r>
        <w:t>Child House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Life-Stage Sequence Cards</w:t>
      </w:r>
    </w:p>
    <w:p>
      <w:pPr>
        <w:jc w:val="center"/>
      </w:pPr>
      <w:r>
        <w:t>Cut cards. Place in order: child → youth → elder. Bodies change; the person continues.</w:t>
      </w:r>
    </w:p>
    <w:p>
      <w:pPr>
        <w:jc w:val="center"/>
      </w:pPr>
      <w:r>
        <w:drawing>
          <wp:inline xmlns:a="http://schemas.openxmlformats.org/drawingml/2006/main" xmlns:pic="http://schemas.openxmlformats.org/drawingml/2006/picture">
            <wp:extent cx="5486400" cy="2560320"/>
            <wp:docPr id="1" name="Picture 1"/>
            <wp:cNvGraphicFramePr>
              <a:graphicFrameLocks noChangeAspect="1"/>
            </wp:cNvGraphicFramePr>
            <a:graphic>
              <a:graphicData uri="http://schemas.openxmlformats.org/drawingml/2006/picture">
                <pic:pic>
                  <pic:nvPicPr>
                    <pic:cNvPr id="0" name="life-stage-sequence.png"/>
                    <pic:cNvPicPr/>
                  </pic:nvPicPr>
                  <pic:blipFill>
                    <a:blip r:embed="rId11"/>
                    <a:stretch>
                      <a:fillRect/>
                    </a:stretch>
                  </pic:blipFill>
                  <pic:spPr>
                    <a:xfrm>
                      <a:off x="0" y="0"/>
                      <a:ext cx="5486400" cy="2560320"/>
                    </a:xfrm>
                    <a:prstGeom prst="rect"/>
                  </pic:spPr>
                </pic:pic>
              </a:graphicData>
            </a:graphic>
          </wp:inline>
        </w:drawing>
      </w:r>
    </w:p>
    <w:p>
      <w:pPr>
        <w:pStyle w:val="Heading2"/>
      </w:pPr>
      <w:r>
        <w:t>CHILD</w:t>
      </w:r>
    </w:p>
    <w:p>
      <w:pPr>
        <w:jc w:val="center"/>
      </w:pPr>
      <w:r>
        <w:drawing>
          <wp:inline xmlns:a="http://schemas.openxmlformats.org/drawingml/2006/main" xmlns:pic="http://schemas.openxmlformats.org/drawingml/2006/picture">
            <wp:extent cx="2011680" cy="1494391"/>
            <wp:docPr id="2" name="Picture 2"/>
            <wp:cNvGraphicFramePr>
              <a:graphicFrameLocks noChangeAspect="1"/>
            </wp:cNvGraphicFramePr>
            <a:graphic>
              <a:graphicData uri="http://schemas.openxmlformats.org/drawingml/2006/picture">
                <pic:pic>
                  <pic:nvPicPr>
                    <pic:cNvPr id="0" name="life-stage-child.png"/>
                    <pic:cNvPicPr/>
                  </pic:nvPicPr>
                  <pic:blipFill>
                    <a:blip r:embed="rId12"/>
                    <a:stretch>
                      <a:fillRect/>
                    </a:stretch>
                  </pic:blipFill>
                  <pic:spPr>
                    <a:xfrm>
                      <a:off x="0" y="0"/>
                      <a:ext cx="2011680" cy="1494391"/>
                    </a:xfrm>
                    <a:prstGeom prst="rect"/>
                  </pic:spPr>
                </pic:pic>
              </a:graphicData>
            </a:graphic>
          </wp:inline>
        </w:drawing>
      </w:r>
    </w:p>
    <w:p>
      <w:pPr>
        <w:jc w:val="center"/>
      </w:pPr>
      <w:r>
        <w:t>A smaller body. Growing.</w:t>
      </w:r>
    </w:p>
    <w:p>
      <w:pPr>
        <w:pStyle w:val="Heading2"/>
      </w:pPr>
      <w:r>
        <w:t>YOUTH</w:t>
      </w:r>
    </w:p>
    <w:p>
      <w:pPr>
        <w:jc w:val="center"/>
      </w:pPr>
      <w:r>
        <w:drawing>
          <wp:inline xmlns:a="http://schemas.openxmlformats.org/drawingml/2006/main" xmlns:pic="http://schemas.openxmlformats.org/drawingml/2006/picture">
            <wp:extent cx="2011680" cy="1494391"/>
            <wp:docPr id="3" name="Picture 3"/>
            <wp:cNvGraphicFramePr>
              <a:graphicFrameLocks noChangeAspect="1"/>
            </wp:cNvGraphicFramePr>
            <a:graphic>
              <a:graphicData uri="http://schemas.openxmlformats.org/drawingml/2006/picture">
                <pic:pic>
                  <pic:nvPicPr>
                    <pic:cNvPr id="0" name="life-stage-youth.png"/>
                    <pic:cNvPicPr/>
                  </pic:nvPicPr>
                  <pic:blipFill>
                    <a:blip r:embed="rId13"/>
                    <a:stretch>
                      <a:fillRect/>
                    </a:stretch>
                  </pic:blipFill>
                  <pic:spPr>
                    <a:xfrm>
                      <a:off x="0" y="0"/>
                      <a:ext cx="2011680" cy="1494391"/>
                    </a:xfrm>
                    <a:prstGeom prst="rect"/>
                  </pic:spPr>
                </pic:pic>
              </a:graphicData>
            </a:graphic>
          </wp:inline>
        </w:drawing>
      </w:r>
    </w:p>
    <w:p>
      <w:pPr>
        <w:jc w:val="center"/>
      </w:pPr>
      <w:r>
        <w:t>A growing body. Changing.</w:t>
      </w:r>
    </w:p>
    <w:p>
      <w:pPr>
        <w:pStyle w:val="Heading2"/>
      </w:pPr>
      <w:r>
        <w:t>ELDER</w:t>
      </w:r>
    </w:p>
    <w:p>
      <w:pPr>
        <w:jc w:val="center"/>
      </w:pPr>
      <w:r>
        <w:drawing>
          <wp:inline xmlns:a="http://schemas.openxmlformats.org/drawingml/2006/main" xmlns:pic="http://schemas.openxmlformats.org/drawingml/2006/picture">
            <wp:extent cx="2011680" cy="1494391"/>
            <wp:docPr id="4" name="Picture 4"/>
            <wp:cNvGraphicFramePr>
              <a:graphicFrameLocks noChangeAspect="1"/>
            </wp:cNvGraphicFramePr>
            <a:graphic>
              <a:graphicData uri="http://schemas.openxmlformats.org/drawingml/2006/picture">
                <pic:pic>
                  <pic:nvPicPr>
                    <pic:cNvPr id="0" name="life-stage-elder.png"/>
                    <pic:cNvPicPr/>
                  </pic:nvPicPr>
                  <pic:blipFill>
                    <a:blip r:embed="rId14"/>
                    <a:stretch>
                      <a:fillRect/>
                    </a:stretch>
                  </pic:blipFill>
                  <pic:spPr>
                    <a:xfrm>
                      <a:off x="0" y="0"/>
                      <a:ext cx="2011680" cy="1494391"/>
                    </a:xfrm>
                    <a:prstGeom prst="rect"/>
                  </pic:spPr>
                </pic:pic>
              </a:graphicData>
            </a:graphic>
          </wp:inline>
        </w:drawing>
      </w:r>
    </w:p>
    <w:p>
      <w:pPr>
        <w:jc w:val="center"/>
      </w:pPr>
      <w:r>
        <w:t>An older body. Still a person.</w:t>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My body changes; I continue as the conscious self.</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Drawings are pedagogy — not proof of the soul. No death scare.</w:t>
            </w:r>
          </w:p>
        </w:tc>
      </w:tr>
    </w:tbl>
    <w:p>
      <w:pPr>
        <w:spacing w:after="20"/>
      </w:pPr>
    </w:p>
    <w:p>
      <w:r>
        <w:br w:type="page"/>
      </w:r>
    </w:p>
    <w:p>
      <w:pPr>
        <w:pStyle w:val="Heading1"/>
      </w:pPr>
      <w:r>
        <w:t>Y02 — Same-Person / Changing-Body Matching</w:t>
      </w:r>
    </w:p>
    <w:p>
      <w:pPr>
        <w:jc w:val="center"/>
      </w:pPr>
      <w:r>
        <w:t>Cut and match pairs. Body changed; person continues. Kind words only.</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Baby shoes</w:t>
            </w:r>
          </w:p>
        </w:tc>
        <w:tc>
          <w:tcPr>
            <w:tcW w:type="dxa" w:w="4752"/>
            <w:vAlign w:val="center"/>
          </w:tcPr>
          <w:p>
            <w:pPr>
              <w:spacing w:before="280" w:after="280"/>
              <w:jc w:val="center"/>
            </w:pPr>
            <w:r>
              <w:rPr>
                <w:b/>
                <w:color w:val="5B1933"/>
              </w:rPr>
              <w:t>CARD 2</w:t>
              <w:br/>
            </w:r>
            <w:r>
              <w:rPr>
                <w:sz w:val="26"/>
              </w:rPr>
              <w:t>Bigger shoes</w:t>
            </w:r>
          </w:p>
        </w:tc>
      </w:tr>
      <w:tr>
        <w:tc>
          <w:tcPr>
            <w:tcW w:type="dxa" w:w="4752"/>
            <w:vAlign w:val="center"/>
          </w:tcPr>
          <w:p>
            <w:pPr>
              <w:spacing w:before="280" w:after="280"/>
              <w:jc w:val="center"/>
            </w:pPr>
            <w:r>
              <w:rPr>
                <w:b/>
                <w:color w:val="5B1933"/>
              </w:rPr>
              <w:t>CARD 3</w:t>
              <w:br/>
            </w:r>
            <w:r>
              <w:rPr>
                <w:sz w:val="26"/>
              </w:rPr>
              <w:t>Short sleeve last year</w:t>
            </w:r>
          </w:p>
        </w:tc>
        <w:tc>
          <w:tcPr>
            <w:tcW w:type="dxa" w:w="4752"/>
            <w:vAlign w:val="center"/>
          </w:tcPr>
          <w:p>
            <w:pPr>
              <w:spacing w:before="280" w:after="280"/>
              <w:jc w:val="center"/>
            </w:pPr>
            <w:r>
              <w:rPr>
                <w:b/>
                <w:color w:val="5B1933"/>
              </w:rPr>
              <w:t>CARD 4</w:t>
              <w:br/>
            </w:r>
            <w:r>
              <w:rPr>
                <w:sz w:val="26"/>
              </w:rPr>
              <w:t>Longer arms this year</w:t>
            </w:r>
          </w:p>
        </w:tc>
      </w:tr>
      <w:tr>
        <w:tc>
          <w:tcPr>
            <w:tcW w:type="dxa" w:w="4752"/>
            <w:vAlign w:val="center"/>
          </w:tcPr>
          <w:p>
            <w:pPr>
              <w:spacing w:before="280" w:after="280"/>
              <w:jc w:val="center"/>
            </w:pPr>
            <w:r>
              <w:rPr>
                <w:b/>
                <w:color w:val="5B1933"/>
              </w:rPr>
              <w:t>CARD 5</w:t>
              <w:br/>
            </w:r>
            <w:r>
              <w:rPr>
                <w:sz w:val="26"/>
              </w:rPr>
              <w:t>First tooth smile</w:t>
            </w:r>
          </w:p>
        </w:tc>
        <w:tc>
          <w:tcPr>
            <w:tcW w:type="dxa" w:w="4752"/>
            <w:vAlign w:val="center"/>
          </w:tcPr>
          <w:p>
            <w:pPr>
              <w:spacing w:before="280" w:after="280"/>
              <w:jc w:val="center"/>
            </w:pPr>
            <w:r>
              <w:rPr>
                <w:b/>
                <w:color w:val="5B1933"/>
              </w:rPr>
              <w:t>CARD 6</w:t>
              <w:br/>
            </w:r>
            <w:r>
              <w:rPr>
                <w:sz w:val="26"/>
              </w:rPr>
              <w:t>Missing tooth smile</w:t>
            </w:r>
          </w:p>
        </w:tc>
      </w:tr>
      <w:tr>
        <w:tc>
          <w:tcPr>
            <w:tcW w:type="dxa" w:w="4752"/>
            <w:vAlign w:val="center"/>
          </w:tcPr>
          <w:p>
            <w:pPr>
              <w:spacing w:before="280" w:after="280"/>
              <w:jc w:val="center"/>
            </w:pPr>
            <w:r>
              <w:rPr>
                <w:b/>
                <w:color w:val="5B1933"/>
              </w:rPr>
              <w:t>CARD 7</w:t>
              <w:br/>
            </w:r>
            <w:r>
              <w:rPr>
                <w:sz w:val="26"/>
              </w:rPr>
              <w:t>Small bicycle</w:t>
            </w:r>
          </w:p>
        </w:tc>
        <w:tc>
          <w:tcPr>
            <w:tcW w:type="dxa" w:w="4752"/>
            <w:vAlign w:val="center"/>
          </w:tcPr>
          <w:p>
            <w:pPr>
              <w:spacing w:before="280" w:after="280"/>
              <w:jc w:val="center"/>
            </w:pPr>
            <w:r>
              <w:rPr>
                <w:b/>
                <w:color w:val="5B1933"/>
              </w:rPr>
              <w:t>CARD 8</w:t>
              <w:br/>
            </w:r>
            <w:r>
              <w:rPr>
                <w:sz w:val="26"/>
              </w:rPr>
              <w:t>Bigger bicycle seat</w:t>
            </w:r>
          </w:p>
        </w:tc>
      </w:tr>
    </w:tbl>
    <w:p>
      <w:pPr>
        <w:jc w:val="center"/>
      </w:pPr>
      <w:r>
        <w:rPr>
          <w:i/>
          <w:color w:val="4F7C78"/>
          <w:sz w:val="22"/>
        </w:rPr>
        <w:t>Cut on the dashed borders. Keep each card intact.</w:t>
      </w:r>
    </w:p>
    <w:p>
      <w:r>
        <w:br w:type="page"/>
      </w:r>
    </w:p>
    <w:p>
      <w:pPr>
        <w:jc w:val="center"/>
      </w:pPr>
      <w:r>
        <w:rPr>
          <w:b/>
          <w:color w:val="5B1933"/>
          <w:sz w:val="60"/>
        </w:rPr>
        <w:t>TEACHER-ONLY</w:t>
      </w:r>
    </w:p>
    <w:p>
      <w:pPr>
        <w:pStyle w:val="Heading1"/>
      </w:pPr>
      <w:r>
        <w:t>Y02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1–2</w:t>
            </w:r>
          </w:p>
        </w:tc>
        <w:tc>
          <w:tcPr>
            <w:tcW w:type="dxa" w:w="4968"/>
            <w:tcMar>
              <w:top w:w="100" w:type="dxa"/>
              <w:start w:w="120" w:type="dxa"/>
              <w:bottom w:w="100" w:type="dxa"/>
              <w:end w:w="120" w:type="dxa"/>
            </w:tcMar>
            <w:vAlign w:val="top"/>
          </w:tcPr>
          <w:p>
            <w:r>
              <w:t>Same child; feet grew</w:t>
            </w:r>
          </w:p>
        </w:tc>
      </w:tr>
      <w:tr>
        <w:tc>
          <w:tcPr>
            <w:tcW w:type="dxa" w:w="4968"/>
            <w:tcMar>
              <w:top w:w="100" w:type="dxa"/>
              <w:start w:w="120" w:type="dxa"/>
              <w:bottom w:w="100" w:type="dxa"/>
              <w:end w:w="120" w:type="dxa"/>
            </w:tcMar>
            <w:shd w:fill="FFF8E8"/>
            <w:vAlign w:val="top"/>
          </w:tcPr>
          <w:p>
            <w:r>
              <w:t>3–4</w:t>
            </w:r>
          </w:p>
        </w:tc>
        <w:tc>
          <w:tcPr>
            <w:tcW w:type="dxa" w:w="4968"/>
            <w:tcMar>
              <w:top w:w="100" w:type="dxa"/>
              <w:start w:w="120" w:type="dxa"/>
              <w:bottom w:w="100" w:type="dxa"/>
              <w:end w:w="120" w:type="dxa"/>
            </w:tcMar>
            <w:shd w:fill="FFF8E8"/>
            <w:vAlign w:val="top"/>
          </w:tcPr>
          <w:p>
            <w:r>
              <w:t>Same child; body grew</w:t>
            </w:r>
          </w:p>
        </w:tc>
      </w:tr>
      <w:tr>
        <w:tc>
          <w:tcPr>
            <w:tcW w:type="dxa" w:w="4968"/>
            <w:tcMar>
              <w:top w:w="100" w:type="dxa"/>
              <w:start w:w="120" w:type="dxa"/>
              <w:bottom w:w="100" w:type="dxa"/>
              <w:end w:w="120" w:type="dxa"/>
            </w:tcMar>
            <w:vAlign w:val="top"/>
          </w:tcPr>
          <w:p>
            <w:r>
              <w:t>5–6</w:t>
            </w:r>
          </w:p>
        </w:tc>
        <w:tc>
          <w:tcPr>
            <w:tcW w:type="dxa" w:w="4968"/>
            <w:tcMar>
              <w:top w:w="100" w:type="dxa"/>
              <w:start w:w="120" w:type="dxa"/>
              <w:bottom w:w="100" w:type="dxa"/>
              <w:end w:w="120" w:type="dxa"/>
            </w:tcMar>
            <w:vAlign w:val="top"/>
          </w:tcPr>
          <w:p>
            <w:r>
              <w:t>Same child; body changed</w:t>
            </w:r>
          </w:p>
        </w:tc>
      </w:tr>
      <w:tr>
        <w:tc>
          <w:tcPr>
            <w:tcW w:type="dxa" w:w="4968"/>
            <w:tcMar>
              <w:top w:w="100" w:type="dxa"/>
              <w:start w:w="120" w:type="dxa"/>
              <w:bottom w:w="100" w:type="dxa"/>
              <w:end w:w="120" w:type="dxa"/>
            </w:tcMar>
            <w:shd w:fill="FFF8E8"/>
            <w:vAlign w:val="top"/>
          </w:tcPr>
          <w:p>
            <w:r>
              <w:t>7–8</w:t>
            </w:r>
          </w:p>
        </w:tc>
        <w:tc>
          <w:tcPr>
            <w:tcW w:type="dxa" w:w="4968"/>
            <w:tcMar>
              <w:top w:w="100" w:type="dxa"/>
              <w:start w:w="120" w:type="dxa"/>
              <w:bottom w:w="100" w:type="dxa"/>
              <w:end w:w="120" w:type="dxa"/>
            </w:tcMar>
            <w:shd w:fill="FFF8E8"/>
            <w:vAlign w:val="top"/>
          </w:tcPr>
          <w:p>
            <w:r>
              <w:t>Same rider; body grew</w:t>
            </w:r>
          </w:p>
        </w:tc>
      </w:tr>
    </w:tbl>
    <w:p>
      <w:pPr>
        <w:spacing w:after="40"/>
      </w:pPr>
    </w:p>
    <w:p>
      <w:r>
        <w:br w:type="page"/>
      </w:r>
    </w:p>
    <w:p>
      <w:pPr>
        <w:pStyle w:val="Heading1"/>
      </w:pPr>
      <w:r>
        <w:t>Y03 — Care / Self Cue Craft</w:t>
      </w:r>
    </w:p>
    <w:p>
      <w:pPr>
        <w:jc w:val="center"/>
      </w:pPr>
      <w:r>
        <w:t>Color Care (body) and Self (I). Practice Care → Self with the memory phrase.</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care-self-craft.png"/>
                    <pic:cNvPicPr/>
                  </pic:nvPicPr>
                  <pic:blipFill>
                    <a:blip r:embed="rId15"/>
                    <a:stretch>
                      <a:fillRect/>
                    </a:stretch>
                  </pic:blipFill>
                  <pic:spPr>
                    <a:xfrm>
                      <a:off x="0" y="0"/>
                      <a:ext cx="5486400" cy="3657600"/>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Draw one care act or kind speech bubble:</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My body changes; I continue as the conscious self.</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Care remains good. Do not teach body neglect or ‘body is trash.’</w:t>
            </w:r>
          </w:p>
        </w:tc>
      </w:tr>
    </w:tbl>
    <w:p>
      <w:pPr>
        <w:spacing w:after="20"/>
      </w:pPr>
    </w:p>
    <w:p>
      <w:r>
        <w:br w:type="page"/>
      </w:r>
    </w:p>
    <w:p>
      <w:pPr>
        <w:pStyle w:val="Heading1"/>
      </w:pPr>
      <w:r>
        <w:t>Y04 — Kind Body-Speech Cards</w:t>
      </w:r>
    </w:p>
    <w:p>
      <w:pPr>
        <w:jc w:val="center"/>
      </w:pPr>
      <w:r>
        <w:t>Cut cards. After a redirect, children point to a KIND card.</w:t>
      </w:r>
    </w:p>
    <w:p>
      <w:pPr>
        <w:jc w:val="center"/>
      </w:pPr>
      <w:r>
        <w:drawing>
          <wp:inline xmlns:a="http://schemas.openxmlformats.org/drawingml/2006/main" xmlns:pic="http://schemas.openxmlformats.org/drawingml/2006/picture">
            <wp:extent cx="5029200" cy="1383030"/>
            <wp:docPr id="6" name="Picture 6"/>
            <wp:cNvGraphicFramePr>
              <a:graphicFrameLocks noChangeAspect="1"/>
            </wp:cNvGraphicFramePr>
            <a:graphic>
              <a:graphicData uri="http://schemas.openxmlformats.org/drawingml/2006/picture">
                <pic:pic>
                  <pic:nvPicPr>
                    <pic:cNvPr id="0" name="kind-speech-icons.png"/>
                    <pic:cNvPicPr/>
                  </pic:nvPicPr>
                  <pic:blipFill>
                    <a:blip r:embed="rId16"/>
                    <a:stretch>
                      <a:fillRect/>
                    </a:stretch>
                  </pic:blipFill>
                  <pic:spPr>
                    <a:xfrm>
                      <a:off x="0" y="0"/>
                      <a:ext cx="5029200" cy="138303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You’re a friend.</w:t>
            </w:r>
          </w:p>
        </w:tc>
        <w:tc>
          <w:tcPr>
            <w:tcW w:type="dxa" w:w="4752"/>
            <w:vAlign w:val="center"/>
          </w:tcPr>
          <w:p>
            <w:pPr>
              <w:spacing w:before="280" w:after="280"/>
              <w:jc w:val="center"/>
            </w:pPr>
            <w:r>
              <w:rPr>
                <w:b/>
                <w:color w:val="5B1933"/>
              </w:rPr>
              <w:t>CARD 2</w:t>
              <w:br/>
            </w:r>
            <w:r>
              <w:rPr>
                <w:sz w:val="26"/>
              </w:rPr>
              <w:t>Bodies change. We stay kind.</w:t>
            </w:r>
          </w:p>
        </w:tc>
      </w:tr>
      <w:tr>
        <w:tc>
          <w:tcPr>
            <w:tcW w:type="dxa" w:w="4752"/>
            <w:vAlign w:val="center"/>
          </w:tcPr>
          <w:p>
            <w:pPr>
              <w:spacing w:before="280" w:after="280"/>
              <w:jc w:val="center"/>
            </w:pPr>
            <w:r>
              <w:rPr>
                <w:b/>
                <w:color w:val="5B1933"/>
              </w:rPr>
              <w:t>CARD 3</w:t>
              <w:br/>
            </w:r>
            <w:r>
              <w:rPr>
                <w:sz w:val="26"/>
              </w:rPr>
              <w:t>I care for my body with sleep and water.</w:t>
            </w:r>
          </w:p>
        </w:tc>
        <w:tc>
          <w:tcPr>
            <w:tcW w:type="dxa" w:w="4752"/>
            <w:vAlign w:val="center"/>
          </w:tcPr>
          <w:p>
            <w:pPr>
              <w:spacing w:before="280" w:after="280"/>
              <w:jc w:val="center"/>
            </w:pPr>
            <w:r>
              <w:rPr>
                <w:b/>
                <w:color w:val="5B1933"/>
              </w:rPr>
              <w:t>CARD 4</w:t>
              <w:br/>
            </w:r>
            <w:r>
              <w:rPr>
                <w:sz w:val="26"/>
              </w:rPr>
              <w:t>I’m sorry. That was not kind.</w:t>
            </w:r>
          </w:p>
        </w:tc>
      </w:tr>
      <w:tr>
        <w:tc>
          <w:tcPr>
            <w:tcW w:type="dxa" w:w="4752"/>
            <w:vAlign w:val="center"/>
          </w:tcPr>
          <w:p>
            <w:pPr>
              <w:spacing w:before="280" w:after="280"/>
              <w:jc w:val="center"/>
            </w:pPr>
            <w:r>
              <w:rPr>
                <w:b/>
                <w:color w:val="5B1933"/>
              </w:rPr>
              <w:t>CARD 5</w:t>
              <w:br/>
            </w:r>
            <w:r>
              <w:rPr>
                <w:sz w:val="26"/>
              </w:rPr>
              <w:t>Someone teases about hair. → Choose a kind repair.</w:t>
            </w:r>
          </w:p>
        </w:tc>
        <w:tc>
          <w:tcPr>
            <w:tcW w:type="dxa" w:w="4752"/>
            <w:vAlign w:val="center"/>
          </w:tcPr>
          <w:p>
            <w:pPr>
              <w:spacing w:before="280" w:after="280"/>
              <w:jc w:val="center"/>
            </w:pPr>
            <w:r>
              <w:rPr>
                <w:b/>
                <w:color w:val="5B1933"/>
              </w:rPr>
              <w:t>CARD 6</w:t>
              <w:br/>
            </w:r>
            <w:r>
              <w:rPr>
                <w:sz w:val="26"/>
              </w:rPr>
              <w:t>Someone laughs about height. → Choose a kind repair.</w:t>
            </w:r>
          </w:p>
        </w:tc>
      </w:tr>
    </w:tbl>
    <w:p>
      <w:pPr>
        <w:jc w:val="center"/>
      </w:pPr>
      <w:r>
        <w:rPr>
          <w:i/>
          <w:color w:val="4F7C78"/>
          <w:sz w:val="22"/>
        </w:rPr>
        <w:t>Cut on the dashed borders. Keep each card intact.</w:t>
      </w:r>
    </w:p>
    <w:p>
      <w:r>
        <w:br w:type="page"/>
      </w:r>
    </w:p>
    <w:p>
      <w:pPr>
        <w:jc w:val="center"/>
      </w:pPr>
      <w:r>
        <w:rPr>
          <w:b/>
          <w:color w:val="5B1933"/>
          <w:sz w:val="60"/>
        </w:rPr>
        <w:t>TEACHER-ONLY</w:t>
      </w:r>
    </w:p>
    <w:p>
      <w:pPr>
        <w:pStyle w:val="Heading1"/>
      </w:pPr>
      <w:r>
        <w:t>Y04 Teacher Demo (not ‘funny’ handouts)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Mistaken demo</w:t>
            </w:r>
          </w:p>
        </w:tc>
        <w:tc>
          <w:tcPr>
            <w:tcW w:type="dxa" w:w="4968"/>
            <w:tcMar>
              <w:top w:w="100" w:type="dxa"/>
              <w:start w:w="120" w:type="dxa"/>
              <w:bottom w:w="100" w:type="dxa"/>
              <w:end w:w="120" w:type="dxa"/>
            </w:tcMar>
            <w:vAlign w:val="top"/>
          </w:tcPr>
          <w:p>
            <w:r>
              <w:t>You’re weird looking. → Stop; choose kind card</w:t>
            </w:r>
          </w:p>
        </w:tc>
      </w:tr>
      <w:tr>
        <w:tc>
          <w:tcPr>
            <w:tcW w:type="dxa" w:w="4968"/>
            <w:tcMar>
              <w:top w:w="100" w:type="dxa"/>
              <w:start w:w="120" w:type="dxa"/>
              <w:bottom w:w="100" w:type="dxa"/>
              <w:end w:w="120" w:type="dxa"/>
            </w:tcMar>
            <w:shd w:fill="FFF8E8"/>
            <w:vAlign w:val="top"/>
          </w:tcPr>
          <w:p>
            <w:r>
              <w:t>Mistaken demo</w:t>
            </w:r>
          </w:p>
        </w:tc>
        <w:tc>
          <w:tcPr>
            <w:tcW w:type="dxa" w:w="4968"/>
            <w:tcMar>
              <w:top w:w="100" w:type="dxa"/>
              <w:start w:w="120" w:type="dxa"/>
              <w:bottom w:w="100" w:type="dxa"/>
              <w:end w:w="120" w:type="dxa"/>
            </w:tcMar>
            <w:shd w:fill="FFF8E8"/>
            <w:vAlign w:val="top"/>
          </w:tcPr>
          <w:p>
            <w:r>
              <w:t>It’s just a joke. → Stop; choose repair card</w:t>
            </w:r>
          </w:p>
        </w:tc>
      </w:tr>
      <w:tr>
        <w:tc>
          <w:tcPr>
            <w:tcW w:type="dxa" w:w="4968"/>
            <w:tcMar>
              <w:top w:w="100" w:type="dxa"/>
              <w:start w:w="120" w:type="dxa"/>
              <w:bottom w:w="100" w:type="dxa"/>
              <w:end w:w="120" w:type="dxa"/>
            </w:tcMar>
            <w:vAlign w:val="top"/>
          </w:tcPr>
          <w:p>
            <w:r>
              <w:t>Guidance</w:t>
            </w:r>
          </w:p>
        </w:tc>
        <w:tc>
          <w:tcPr>
            <w:tcW w:type="dxa" w:w="4968"/>
            <w:tcMar>
              <w:top w:w="100" w:type="dxa"/>
              <w:start w:w="120" w:type="dxa"/>
              <w:bottom w:w="100" w:type="dxa"/>
              <w:end w:w="120" w:type="dxa"/>
            </w:tcMar>
            <w:vAlign w:val="top"/>
          </w:tcPr>
          <w:p>
            <w:r>
              <w:t>Any KIND card OK; prefer repair after hurt</w:t>
            </w:r>
          </w:p>
        </w:tc>
      </w:tr>
    </w:tbl>
    <w:p>
      <w:pPr>
        <w:spacing w:after="40"/>
      </w:pPr>
    </w:p>
    <w:p>
      <w:r>
        <w:br w:type="page"/>
      </w:r>
    </w:p>
    <w:p>
      <w:pPr>
        <w:pStyle w:val="Heading1"/>
      </w:pPr>
      <w:r>
        <w:t>Y05 — Memory Phrase Mat</w:t>
      </w:r>
    </w:p>
    <w:p>
      <w:pPr>
        <w:jc w:val="center"/>
      </w:pPr>
      <w:r>
        <w:t>Place on floor/table. Tap each line while echoing during Grow-and-Freeze.</w:t>
      </w:r>
    </w:p>
    <w:p>
      <w:pPr>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memory-phrase-mat.png"/>
                    <pic:cNvPicPr/>
                  </pic:nvPicPr>
                  <pic:blipFill>
                    <a:blip r:embed="rId17"/>
                    <a:stretch>
                      <a:fillRect/>
                    </a:stretch>
                  </pic:blipFill>
                  <pic:spPr>
                    <a:xfrm>
                      <a:off x="0" y="0"/>
                      <a:ext cx="5669280" cy="3401568"/>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My body changes; I continue as the conscious self.</w:t>
            </w:r>
          </w:p>
        </w:tc>
      </w:tr>
    </w:tbl>
    <w:p>
      <w:r>
        <w:t>Care for the body. Don’t tease bodies. · BG 2.13 family week</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C1-W2 • V13  |  Younger teacher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