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C1-W3 — Younger Teacher Pack</w:t>
      </w:r>
    </w:p>
    <w:p>
      <w:pPr>
        <w:pStyle w:val="Subtitle"/>
        <w:jc w:val="center"/>
      </w:pPr>
      <w:r>
        <w:t>K–2 run sheet and activities</w:t>
      </w:r>
    </w:p>
    <w:p>
      <w:pPr>
        <w:spacing w:before="360"/>
        <w:jc w:val="center"/>
      </w:pPr>
      <w:r>
        <w:rPr>
          <w:rFonts w:ascii="Cambria" w:hAnsi="Cambria" w:eastAsia="Cambria" w:cs="Cambria"/>
          <w:b/>
          <w:color w:val="7A263A"/>
          <w:sz w:val="24"/>
        </w:rPr>
        <w:t>C1-W3 • The Nature of the Soul</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2.20</w:t>
      </w:r>
    </w:p>
    <w:p>
      <w:r>
        <w:t>Source URL: https://vedabase.io/en/library/bg/2/20/</w:t>
      </w:r>
    </w:p>
    <w:p>
      <w:r>
        <w:br w:type="page"/>
      </w:r>
    </w:p>
    <w:p>
      <w:pPr>
        <w:pStyle w:val="Heading1"/>
      </w:pPr>
      <w:r>
        <w:t>Younger Teacher Run Sheet</w:t>
      </w:r>
    </w:p>
    <w:p>
      <w:pPr>
        <w:pStyle w:val="KUTUMBARights"/>
      </w:pPr>
      <w:r>
        <w:t>Canonical source: 11-weekly-program-library/first-six-months/c1-w3-the-nature-of-the-soul/teacher/YOUNGER-TEACHER-GUIDE-V13.md  •  SHA-256: 6699c9afa9613c06265d0e6f330ce49ffefb8cfebf728ea96f0d1ff789906d28</w:t>
      </w:r>
    </w:p>
    <w:p>
      <w:r>
        <w:rPr>
          <w:b/>
        </w:rPr>
        <w:t>Week ID:</w:t>
      </w:r>
      <w:r>
        <w:t xml:space="preserve"> C1-W3 · </w:t>
      </w:r>
      <w:r>
        <w:rPr>
          <w:b/>
        </w:rPr>
        <w:t>Date:</w:t>
      </w:r>
      <w:r>
        <w:t xml:space="preserve"> 2026-09-26 · </w:t>
      </w:r>
      <w:r>
        <w:rPr>
          <w:b/>
        </w:rPr>
        <w:t>Entry:</w:t>
      </w:r>
      <w:r>
        <w:t xml:space="preserve"> V13-WEEK-START-HERE.md\n\n</w:t>
      </w:r>
      <w:r>
        <w:rPr>
          <w:b/>
        </w:rPr>
        <w:t>Week:</w:t>
      </w:r>
      <w:r>
        <w:t xml:space="preserve"> The Nature of the Soul </w:t>
      </w:r>
      <w:r>
        <w:rPr>
          <w:b/>
        </w:rPr>
        <w:t>Primary:</w:t>
      </w:r>
      <w:r>
        <w:t xml:space="preserve"> BG 2.20 — https://vedabase.io/en/library/bg/2/20/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experience that they are an </w:t>
      </w:r>
      <w:r>
        <w:rPr>
          <w:b/>
        </w:rPr>
        <w:t>eternal soul</w:t>
      </w:r>
      <w:r>
        <w:t xml:space="preserve"> — conscious, individual, and meant for </w:t>
      </w:r>
      <w:r>
        <w:rPr>
          <w:b/>
        </w:rPr>
        <w:t>Kṛṣṇa’s service</w:t>
      </w:r>
      <w:r>
        <w:t xml:space="preserve"> — not God Himself. They take home a “spark serves the sun” cue card and one care-as-service act.</w:t>
      </w:r>
    </w:p>
    <w:p>
      <w:pPr>
        <w:pStyle w:val="Heading2"/>
      </w:pPr>
      <w:r>
        <w:t>Exact memory phrase</w:t>
      </w:r>
    </w:p>
    <w:p>
      <w:pPr>
        <w:pStyle w:val="Quote"/>
      </w:pPr>
      <w:r>
        <w:t>I am an eternal soul — conscious, individual, and meant for Kṛṣṇa's service.</w:t>
      </w:r>
    </w:p>
    <w:p>
      <w:pPr>
        <w:pStyle w:val="Heading2"/>
      </w:pPr>
      <w:r>
        <w:t>Teacher background (2 minutes to review)</w:t>
      </w:r>
    </w:p>
    <w:p>
      <w:pPr>
        <w:pStyle w:val="ListBullet"/>
      </w:pPr>
      <w:r>
        <w:rPr>
          <w:b/>
        </w:rPr>
        <w:t>KUTUMBA teaching meaning (adult wording):</w:t>
      </w:r>
      <w:r>
        <w:t xml:space="preserve"> The soul is never born and never dies; unborn, eternal, and everlasting — not destroyed when the body is destroyed.</w:t>
      </w:r>
    </w:p>
    <w:p>
      <w:pPr>
        <w:pStyle w:val="ListBullet"/>
      </w:pPr>
      <w:r>
        <w:rPr>
          <w:b/>
        </w:rPr>
        <w:t>Child-facing paraphrase:</w:t>
      </w:r>
      <w:r>
        <w:t xml:space="preserve"> You are a tiny bright spark meant to love and serve Kṛṣṇa. Sparks are not the whole sun. We still brush teeth and sleep — caring for the body helps us serve.</w:t>
      </w:r>
    </w:p>
    <w:p>
      <w:pPr>
        <w:pStyle w:val="ListBullet"/>
      </w:pPr>
      <w:r>
        <w:rPr>
          <w:b/>
        </w:rPr>
        <w:t>Block misconceptions (child words):</w:t>
      </w:r>
    </w:p>
    <w:p>
      <w:pPr>
        <w:pStyle w:val="ListBullet"/>
      </w:pPr>
      <w:r>
        <w:t>“I am God.”</w:t>
      </w:r>
    </w:p>
    <w:p>
      <w:pPr>
        <w:pStyle w:val="ListBullet"/>
      </w:pPr>
      <w:r>
        <w:t>“Science proved there is no soul.”</w:t>
      </w:r>
    </w:p>
    <w:p>
      <w:pPr>
        <w:pStyle w:val="ListBullet"/>
      </w:pPr>
      <w:r>
        <w:t>“Bodies don’t need care because we are soul.”</w:t>
      </w:r>
    </w:p>
    <w:p>
      <w:pPr>
        <w:pStyle w:val="ListBullet"/>
      </w:pPr>
      <w:r>
        <w:rPr>
          <w:b/>
        </w:rPr>
        <w:t>Do not:</w:t>
      </w:r>
      <w:r>
        <w:t xml:space="preserve"> invent dialogue; use violence in Jaḍa Bharata retelling; shame a child who says “I am God”; claim lab proof of ātman.</w:t>
      </w:r>
    </w:p>
    <w:p>
      <w:pPr>
        <w:pStyle w:val="Heading2"/>
      </w:pPr>
      <w:r>
        <w:t>Materials</w:t>
      </w:r>
    </w:p>
    <w:p>
      <w:pPr>
        <w:pStyle w:val="ListBullet"/>
      </w:pPr>
      <w:r>
        <w:t>Yellow “sun” circle and smaller “spark/ray” cutouts (one spark per child)</w:t>
      </w:r>
    </w:p>
    <w:p>
      <w:pPr>
        <w:pStyle w:val="ListBullet"/>
      </w:pPr>
      <w:r>
        <w:t>Soft house picture or toy house + small figure (resident demo)</w:t>
      </w:r>
    </w:p>
    <w:p>
      <w:pPr>
        <w:pStyle w:val="ListBullet"/>
      </w:pPr>
      <w:r>
        <w:t>Card stock for spark-service cards</w:t>
      </w:r>
    </w:p>
    <w:p>
      <w:pPr>
        <w:pStyle w:val="ListBullet"/>
      </w:pPr>
      <w:r>
        <w:t>Crayons; printed line-art if available</w:t>
      </w:r>
    </w:p>
    <w:p>
      <w:pPr>
        <w:pStyle w:val="ListBullet"/>
      </w:pPr>
      <w:r>
        <w:t>Soft toss object; calm-corner chair</w:t>
      </w:r>
    </w:p>
    <w:p>
      <w:pPr>
        <w:pStyle w:val="Heading2"/>
      </w:pPr>
      <w:r>
        <w:t>Room setup</w:t>
      </w:r>
    </w:p>
    <w:p>
      <w:r>
        <w:t>Circle; sun poster at center; spark cutouts ready; aisles clear for Spark-and-Serve movement.</w:t>
      </w:r>
    </w:p>
    <w:p>
      <w:pPr>
        <w:pStyle w:val="Heading2"/>
      </w:pPr>
      <w:r>
        <w:t>Minute-by-minute executable plan</w:t>
      </w:r>
    </w:p>
    <w:p>
      <w:pPr>
        <w:pStyle w:val="Heading3"/>
      </w:pPr>
      <w:r>
        <w:t>0–5 min — Opening and recall</w:t>
      </w:r>
    </w:p>
    <w:p>
      <w:pPr>
        <w:ind w:left="288"/>
      </w:pPr>
      <w:r>
        <w:t>1. Welcome; feet on floor.</w:t>
      </w:r>
    </w:p>
    <w:p>
      <w:pPr>
        <w:ind w:left="288"/>
      </w:pPr>
      <w:r>
        <w:t>2. Show sun + one spark: “Same light-nature — spark is not the sun.”</w:t>
      </w:r>
    </w:p>
    <w:p>
      <w:pPr>
        <w:ind w:left="288"/>
      </w:pPr>
      <w:r>
        <w:t xml:space="preserve">3. Echo memory phrase twice (break into beats): </w:t>
      </w:r>
      <w:r>
        <w:rPr>
          <w:i/>
        </w:rPr>
        <w:t>I am an eternal soul — / conscious, individual — / meant for Kṛṣṇa's service.</w:t>
      </w:r>
    </w:p>
    <w:p>
      <w:pPr>
        <w:ind w:left="288"/>
      </w:pPr>
      <w:r>
        <w:t>4. Briefly recall W2: body changes; self continues — today we learn what kind of self.</w:t>
      </w:r>
    </w:p>
    <w:p>
      <w:pPr>
        <w:pStyle w:val="Heading3"/>
      </w:pPr>
      <w:r>
        <w:t>5–13 min — Story script (paraphrase only; ~8 minutes)</w:t>
      </w:r>
    </w:p>
    <w:p>
      <w:r>
        <w:rPr>
          <w:b/>
        </w:rPr>
        <w:t>Say exactly this spine (do not invent deity dialogue):</w:t>
      </w:r>
    </w:p>
    <w:p>
      <w:pPr>
        <w:pStyle w:val="Quote"/>
      </w:pPr>
      <w:r>
        <w:t>Last week we learned: bodies change; the conscious self continues. Today we ask: what kind of self am I? Kṛṣṇa teaches that the soul is never born and never dies. When the body is finished, the soul is not destroyed. The living being is like a ray of the sun — sharing light-nature, but not the whole sun. We are tiny parts meant to serve Kṛṣṇa, not to become the Supreme. Long ago, a wise person named Jaḍa Bharata helped a king see that labels about bodies — strong, weak, important jobs — do not define the soul. We tell that gently, without scary details. If someone says “I am God,” we smile and say: “You are a dear spark meant to serve, not the whole sun.” And we still care for our house — our body — so we can serve with energy.</w:t>
      </w:r>
    </w:p>
    <w:p>
      <w:r>
        <w:rPr>
          <w:b/>
        </w:rPr>
        <w:t>Story boundaries:</w:t>
      </w:r>
      <w:r>
        <w:t xml:space="preserve"> BG 2.20 + BG 15.7 fragmental part; Jaḍa Bharata / ŚB 5.10 gentle nonviolent paraphrase only. No invented quotes. No “science proves soul.”</w:t>
      </w:r>
    </w:p>
    <w:p>
      <w:pPr>
        <w:pStyle w:val="Heading3"/>
      </w:pPr>
      <w:r>
        <w:t>13–16 min — Three wonder questions</w:t>
      </w:r>
    </w:p>
    <w:p>
      <w:pPr>
        <w:ind w:left="288"/>
      </w:pPr>
      <w:r>
        <w:t>1. Is the spark the whole sun? (</w:t>
      </w:r>
      <w:r>
        <w:rPr>
          <w:b/>
        </w:rPr>
        <w:t>No</w:t>
      </w:r>
      <w:r>
        <w:t>)</w:t>
      </w:r>
    </w:p>
    <w:p>
      <w:pPr>
        <w:ind w:left="288"/>
      </w:pPr>
      <w:r>
        <w:t>2. What is the soul meant for? (</w:t>
      </w:r>
      <w:r>
        <w:rPr>
          <w:b/>
        </w:rPr>
        <w:t>Kṛṣṇa’s service</w:t>
      </w:r>
      <w:r>
        <w:t>)</w:t>
      </w:r>
    </w:p>
    <w:p>
      <w:pPr>
        <w:ind w:left="288"/>
      </w:pPr>
      <w:r>
        <w:t>3. Name one way to care for the body so we can serve. (sleep / water / brush)</w:t>
      </w:r>
    </w:p>
    <w:p>
      <w:pPr>
        <w:pStyle w:val="Heading3"/>
      </w:pPr>
      <w:r>
        <w:t>16–24 min — Movement game: Spark and Serve (steps)</w:t>
      </w:r>
    </w:p>
    <w:p>
      <w:pPr>
        <w:ind w:left="288"/>
      </w:pPr>
      <w:r>
        <w:t>1. Children stand in open space holding imaginary sparks (open palms).</w:t>
      </w:r>
    </w:p>
    <w:p>
      <w:pPr>
        <w:ind w:left="288"/>
      </w:pPr>
      <w:r>
        <w:t xml:space="preserve">2. Teacher calls </w:t>
      </w:r>
      <w:r>
        <w:rPr>
          <w:b/>
        </w:rPr>
        <w:t>Spark!</w:t>
      </w:r>
      <w:r>
        <w:t xml:space="preserve"> — children wiggle fingers (alive, conscious).</w:t>
      </w:r>
    </w:p>
    <w:p>
      <w:pPr>
        <w:ind w:left="288"/>
      </w:pPr>
      <w:r>
        <w:t xml:space="preserve">3. Teacher calls </w:t>
      </w:r>
      <w:r>
        <w:rPr>
          <w:b/>
        </w:rPr>
        <w:t>Not the sun!</w:t>
      </w:r>
      <w:r>
        <w:t xml:space="preserve"> — point to sun poster; shake head gently; whisper “I serve.”</w:t>
      </w:r>
    </w:p>
    <w:p>
      <w:pPr>
        <w:ind w:left="288"/>
      </w:pPr>
      <w:r>
        <w:t xml:space="preserve">4. Teacher calls </w:t>
      </w:r>
      <w:r>
        <w:rPr>
          <w:b/>
        </w:rPr>
        <w:t>Serve!</w:t>
      </w:r>
      <w:r>
        <w:t xml:space="preserve"> — take three gentle steps toward a “service mat” (help pile: toy tidy, or kindness mat) and sit.</w:t>
      </w:r>
    </w:p>
    <w:p>
      <w:pPr>
        <w:ind w:left="288"/>
      </w:pPr>
      <w:r>
        <w:t>5. Three rounds. Round three: show cards (A) “I am God” (B) “I am a spark who serves.” Point to B on Serve.</w:t>
      </w:r>
    </w:p>
    <w:p>
      <w:pPr>
        <w:ind w:left="288"/>
      </w:pPr>
      <w:r>
        <w:t>6. End seated; echo memory phrase once.</w:t>
      </w:r>
    </w:p>
    <w:p>
      <w:pPr>
        <w:pStyle w:val="Heading3"/>
      </w:pPr>
      <w:r>
        <w:t>24–32 min — Craft: Spark-service cue card (steps)</w:t>
      </w:r>
    </w:p>
    <w:p>
      <w:pPr>
        <w:ind w:left="288"/>
      </w:pPr>
      <w:r>
        <w:t>1. Fold card stock; stick or draw a yellow spark on the front.</w:t>
      </w:r>
    </w:p>
    <w:p>
      <w:pPr>
        <w:ind w:left="288"/>
      </w:pPr>
      <w:r>
        <w:t xml:space="preserve">2. Inside, write: </w:t>
      </w:r>
      <w:r>
        <w:rPr>
          <w:b/>
        </w:rPr>
        <w:t>I am an eternal soul — conscious, individual, and meant for Kṛṣṇa's service.</w:t>
      </w:r>
      <w:r>
        <w:t xml:space="preserve"> (or short: </w:t>
      </w:r>
      <w:r>
        <w:rPr>
          <w:i/>
        </w:rPr>
        <w:t>Dear spark — I serve Kṛṣṇa.</w:t>
      </w:r>
      <w:r>
        <w:t>)</w:t>
      </w:r>
    </w:p>
    <w:p>
      <w:pPr>
        <w:ind w:left="288"/>
      </w:pPr>
      <w:r>
        <w:t>3. On the back: draw one service act (help set plate, soft voice, tidy toys) AND one body-care act.</w:t>
      </w:r>
    </w:p>
    <w:p>
      <w:pPr>
        <w:ind w:left="288"/>
      </w:pPr>
      <w:r>
        <w:t>4. Practice: touch spark → say “not the sun” → say “I serve.”</w:t>
      </w:r>
    </w:p>
    <w:p>
      <w:pPr>
        <w:ind w:left="288"/>
      </w:pPr>
      <w:r>
        <w:t>5. Take-home placement: near toothbrush or dinner plate.</w:t>
      </w:r>
    </w:p>
    <w:p>
      <w:r>
        <w:t xml:space="preserve">Full steps also in </w:t>
      </w:r>
      <w:r>
        <w:rPr>
          <w:rFonts w:ascii="Consolas" w:hAnsi="Consolas"/>
          <w:color w:val="7A263A"/>
          <w:sz w:val="18"/>
        </w:rPr>
        <w:t>activities/v13-younger/</w:t>
      </w:r>
      <w:r>
        <w:t>.</w:t>
      </w:r>
    </w:p>
    <w:p>
      <w:pPr>
        <w:pStyle w:val="Heading3"/>
      </w:pPr>
      <w:r>
        <w:t>32–35 min — Printable / coloring task</w:t>
      </w:r>
    </w:p>
    <w:p>
      <w:r>
        <w:t>Color line-art if time; else keep spark card.</w:t>
      </w:r>
    </w:p>
    <w:p>
      <w:pPr>
        <w:pStyle w:val="Heading3"/>
      </w:pPr>
      <w:r>
        <w:t>35–38 min — Behavior redirects and quiet reset</w:t>
      </w:r>
    </w:p>
    <w:p>
      <w:pPr>
        <w:pStyle w:val="ListBullet"/>
      </w:pPr>
      <w:r>
        <w:rPr>
          <w:b/>
        </w:rPr>
        <w:t>Feet on floor</w:t>
      </w:r>
      <w:r>
        <w:t xml:space="preserve"> — “Spark feet on the mat.”</w:t>
      </w:r>
    </w:p>
    <w:p>
      <w:pPr>
        <w:pStyle w:val="ListBullet"/>
      </w:pPr>
      <w:r>
        <w:rPr>
          <w:b/>
        </w:rPr>
        <w:t>Kind words</w:t>
      </w:r>
      <w:r>
        <w:t xml:space="preserve"> — “Serve voice.”</w:t>
      </w:r>
    </w:p>
    <w:p>
      <w:pPr>
        <w:pStyle w:val="ListBullet"/>
      </w:pPr>
      <w:r>
        <w:rPr>
          <w:b/>
        </w:rPr>
        <w:t>I am God boast</w:t>
      </w:r>
      <w:r>
        <w:t xml:space="preserve"> — “Smile — dear spark who serves.”</w:t>
      </w:r>
    </w:p>
    <w:p>
      <w:pPr>
        <w:pStyle w:val="ListBullet"/>
      </w:pPr>
      <w:r>
        <w:rPr>
          <w:b/>
        </w:rPr>
        <w:t>Quiet reset</w:t>
      </w:r>
      <w:r>
        <w:t xml:space="preserve"> — calm corner with sun picture; rejoin on Serve.</w:t>
      </w:r>
    </w:p>
    <w:p>
      <w:pPr>
        <w:pStyle w:val="Heading3"/>
      </w:pPr>
      <w:r>
        <w:t>38–40 min — Cleanup and parent handoff</w:t>
      </w:r>
    </w:p>
    <w:p>
      <w:pPr>
        <w:pStyle w:val="Quote"/>
      </w:pPr>
      <w:r>
        <w:t>Memory: “I am an eternal soul — conscious, individual, and meant for Kṛṣṇa's service.” Home cue: once daily — say the phrase and do one care act as service readiness. Labs measure bodies; soul teaching comes from śāstra.</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“I am God”</w:t>
            </w:r>
          </w:p>
        </w:tc>
        <w:tc>
          <w:tcPr>
            <w:tcW w:type="dxa" w:w="3312"/>
            <w:tcMar>
              <w:top w:w="100" w:type="dxa"/>
              <w:start w:w="120" w:type="dxa"/>
              <w:bottom w:w="100" w:type="dxa"/>
              <w:end w:w="120" w:type="dxa"/>
            </w:tcMar>
            <w:vAlign w:val="top"/>
          </w:tcPr>
          <w:p>
            <w:r>
              <w:t>“Dear spark who serves.”</w:t>
            </w:r>
          </w:p>
        </w:tc>
        <w:tc>
          <w:tcPr>
            <w:tcW w:type="dxa" w:w="3312"/>
            <w:tcMar>
              <w:top w:w="100" w:type="dxa"/>
              <w:start w:w="120" w:type="dxa"/>
              <w:bottom w:w="100" w:type="dxa"/>
              <w:end w:w="120" w:type="dxa"/>
            </w:tcMar>
            <w:vAlign w:val="top"/>
          </w:tcPr>
          <w:p>
            <w:r>
              <w:t>Repeat gently</w:t>
            </w:r>
          </w:p>
        </w:tc>
      </w:tr>
      <w:tr>
        <w:tc>
          <w:tcPr>
            <w:tcW w:type="dxa" w:w="3312"/>
            <w:tcMar>
              <w:top w:w="100" w:type="dxa"/>
              <w:start w:w="120" w:type="dxa"/>
              <w:bottom w:w="100" w:type="dxa"/>
              <w:end w:w="120" w:type="dxa"/>
            </w:tcMar>
            <w:shd w:fill="FFF8E8"/>
            <w:vAlign w:val="top"/>
          </w:tcPr>
          <w:p>
            <w:r>
              <w:t>Body neglect talk</w:t>
            </w:r>
          </w:p>
        </w:tc>
        <w:tc>
          <w:tcPr>
            <w:tcW w:type="dxa" w:w="3312"/>
            <w:tcMar>
              <w:top w:w="100" w:type="dxa"/>
              <w:start w:w="120" w:type="dxa"/>
              <w:bottom w:w="100" w:type="dxa"/>
              <w:end w:w="120" w:type="dxa"/>
            </w:tcMar>
            <w:shd w:fill="FFF8E8"/>
            <w:vAlign w:val="top"/>
          </w:tcPr>
          <w:p>
            <w:r>
              <w:t>“Care helps us serve.”</w:t>
            </w:r>
          </w:p>
        </w:tc>
        <w:tc>
          <w:tcPr>
            <w:tcW w:type="dxa" w:w="3312"/>
            <w:tcMar>
              <w:top w:w="100" w:type="dxa"/>
              <w:start w:w="120" w:type="dxa"/>
              <w:bottom w:w="100" w:type="dxa"/>
              <w:end w:w="120" w:type="dxa"/>
            </w:tcMar>
            <w:shd w:fill="FFF8E8"/>
            <w:vAlign w:val="top"/>
          </w:tcPr>
          <w:p>
            <w:r>
              <w:t>Name one care act</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“Spark walk.”</w:t>
            </w:r>
          </w:p>
        </w:tc>
        <w:tc>
          <w:tcPr>
            <w:tcW w:type="dxa" w:w="3312"/>
            <w:tcMar>
              <w:top w:w="100" w:type="dxa"/>
              <w:start w:w="120" w:type="dxa"/>
              <w:bottom w:w="100" w:type="dxa"/>
              <w:end w:w="120" w:type="dxa"/>
            </w:tcMar>
            <w:vAlign w:val="top"/>
          </w:tcPr>
          <w:p>
            <w:r>
              <w:t>Walk</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r>
        <w:t>Soft toss: catch → say “spark,” “serve,” or “care.” Three phrase echoes. Optional: place spark cutouts on sun, then take one home.</w:t>
      </w:r>
    </w:p>
    <w:p>
      <w:pPr>
        <w:pStyle w:val="Heading2"/>
      </w:pPr>
      <w:r>
        <w:t>What success looks like</w:t>
      </w:r>
    </w:p>
    <w:p>
      <w:pPr>
        <w:pStyle w:val="ListBullet"/>
      </w:pPr>
      <w:r>
        <w:t>Child can say spark ≠ sun.</w:t>
      </w:r>
    </w:p>
    <w:p>
      <w:pPr>
        <w:pStyle w:val="ListBullet"/>
      </w:pPr>
      <w:r>
        <w:t>Child can echo (or finish) memory phrase.</w:t>
      </w:r>
    </w:p>
    <w:p>
      <w:pPr>
        <w:pStyle w:val="ListBullet"/>
      </w:pPr>
      <w:r>
        <w:t>Child can name one service + one care act.</w:t>
      </w:r>
    </w:p>
    <w:p>
      <w:pPr>
        <w:pStyle w:val="Heading2"/>
      </w:pPr>
      <w:r>
        <w:t>Boundaries</w:t>
      </w:r>
    </w:p>
    <w:p>
      <w:pPr>
        <w:pStyle w:val="ListBullet"/>
      </w:pPr>
      <w:r>
        <w:t>Snack/water at 3:30 only; no weekly meal.</w:t>
      </w:r>
    </w:p>
    <w:p>
      <w:pPr>
        <w:pStyle w:val="ListBullet"/>
      </w:pPr>
      <w:r>
        <w:rPr>
          <w:b/>
        </w:rPr>
        <w:t>N/A — no empirical claim is needed for this week's doctrinal conclusion</w:t>
      </w:r>
      <w:r>
        <w:t xml:space="preserve"> about ātman — do not claim science proves or disproves the soul.</w:t>
      </w:r>
    </w:p>
    <w:p>
      <w:pPr>
        <w:pStyle w:val="ListBullet"/>
      </w:pPr>
      <w:r>
        <w:t>No ranking; no public shame for “I am God” moments.</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Y01–Y05</w:t>
            </w:r>
          </w:p>
        </w:tc>
        <w:tc>
          <w:tcPr>
            <w:tcW w:type="dxa" w:w="3312"/>
            <w:tcMar>
              <w:top w:w="100" w:type="dxa"/>
              <w:start w:w="120" w:type="dxa"/>
              <w:bottom w:w="100" w:type="dxa"/>
              <w:end w:w="120" w:type="dxa"/>
            </w:tcMar>
            <w:vAlign w:val="top"/>
          </w:tcPr>
          <w:p>
            <w:r>
              <w:t>Soul is / is-not classification cards (+ supporting crafts/sorts)</w:t>
            </w:r>
          </w:p>
        </w:tc>
        <w:tc>
          <w:tcPr>
            <w:tcW w:type="dxa" w:w="3312"/>
            <w:tcMar>
              <w:top w:w="100" w:type="dxa"/>
              <w:start w:w="120" w:type="dxa"/>
              <w:bottom w:w="100" w:type="dxa"/>
              <w:end w:w="120" w:type="dxa"/>
            </w:tcMar>
            <w:vAlign w:val="top"/>
          </w:tcPr>
          <w:p>
            <w:r>
              <w:t>`activities/v13-younger/`</w:t>
            </w:r>
          </w:p>
        </w:tc>
      </w:tr>
    </w:tbl>
    <w:p>
      <w:pPr>
        <w:spacing w:after="40"/>
      </w:pPr>
    </w:p>
    <w:p>
      <w:r>
        <w:t xml:space="preserve">Use Word builders in </w:t>
      </w:r>
      <w:r>
        <w:rPr>
          <w:rFonts w:ascii="Consolas" w:hAnsi="Consolas"/>
          <w:color w:val="7A263A"/>
          <w:sz w:val="18"/>
        </w:rPr>
        <w:t>scripts/v13/printables/C1-W3.py</w:t>
      </w:r>
      <w:r>
        <w:t xml:space="preserve"> (YOUNGER_BUILDERS). Visuals: </w:t>
      </w:r>
      <w:r>
        <w:rPr>
          <w:rFonts w:ascii="Consolas" w:hAnsi="Consolas"/>
          <w:color w:val="7A263A"/>
          <w:sz w:val="18"/>
        </w:rPr>
        <w:t>visuals/v13/</w:t>
      </w:r>
      <w:r>
        <w:t xml:space="preserve">. Memory phrase: </w:t>
      </w:r>
      <w:r>
        <w:rPr>
          <w:i/>
        </w:rPr>
        <w:t>I am an eternal soul — conscious, individual, and meant for Kṛṣṇa's service.</w:t>
      </w:r>
    </w:p>
    <w:p>
      <w:r>
        <w:br w:type="page"/>
      </w:r>
    </w:p>
    <w:p>
      <w:pPr>
        <w:pStyle w:val="Heading1"/>
      </w:pPr>
      <w:r>
        <w:t>Child House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Soul Is / Is-Not Cards</w:t>
      </w:r>
    </w:p>
    <w:p>
      <w:pPr>
        <w:jc w:val="center"/>
      </w:pPr>
      <w:r>
        <w:t>Sort into SOUL IS vs SOUL IS NOT.</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IS: Eternal</w:t>
            </w:r>
          </w:p>
        </w:tc>
        <w:tc>
          <w:tcPr>
            <w:tcW w:type="dxa" w:w="4752"/>
            <w:vAlign w:val="center"/>
          </w:tcPr>
          <w:p>
            <w:pPr>
              <w:spacing w:before="280" w:after="280"/>
              <w:jc w:val="center"/>
            </w:pPr>
            <w:r>
              <w:rPr>
                <w:b/>
                <w:color w:val="5B1933"/>
              </w:rPr>
              <w:t>CARD 2</w:t>
              <w:br/>
            </w:r>
            <w:r>
              <w:rPr>
                <w:sz w:val="26"/>
              </w:rPr>
              <w:t>IS: Conscious</w:t>
            </w:r>
          </w:p>
        </w:tc>
      </w:tr>
      <w:tr>
        <w:tc>
          <w:tcPr>
            <w:tcW w:type="dxa" w:w="4752"/>
            <w:vAlign w:val="center"/>
          </w:tcPr>
          <w:p>
            <w:pPr>
              <w:spacing w:before="280" w:after="280"/>
              <w:jc w:val="center"/>
            </w:pPr>
            <w:r>
              <w:rPr>
                <w:b/>
                <w:color w:val="5B1933"/>
              </w:rPr>
              <w:t>CARD 3</w:t>
              <w:br/>
            </w:r>
            <w:r>
              <w:rPr>
                <w:sz w:val="26"/>
              </w:rPr>
              <w:t>IS: Meant to serve Kṛṣṇa</w:t>
            </w:r>
          </w:p>
        </w:tc>
        <w:tc>
          <w:tcPr>
            <w:tcW w:type="dxa" w:w="4752"/>
            <w:vAlign w:val="center"/>
          </w:tcPr>
          <w:p>
            <w:pPr>
              <w:spacing w:before="280" w:after="280"/>
              <w:jc w:val="center"/>
            </w:pPr>
            <w:r>
              <w:rPr>
                <w:b/>
                <w:color w:val="5B1933"/>
              </w:rPr>
              <w:t>CARD 4</w:t>
              <w:br/>
            </w:r>
            <w:r>
              <w:rPr>
                <w:sz w:val="26"/>
              </w:rPr>
              <w:t>IS NOT: The temporary body</w:t>
            </w:r>
          </w:p>
        </w:tc>
      </w:tr>
      <w:tr>
        <w:tc>
          <w:tcPr>
            <w:tcW w:type="dxa" w:w="4752"/>
            <w:vAlign w:val="center"/>
          </w:tcPr>
          <w:p>
            <w:pPr>
              <w:spacing w:before="280" w:after="280"/>
              <w:jc w:val="center"/>
            </w:pPr>
            <w:r>
              <w:rPr>
                <w:b/>
                <w:color w:val="5B1933"/>
              </w:rPr>
              <w:t>CARD 5</w:t>
              <w:br/>
            </w:r>
            <w:r>
              <w:rPr>
                <w:sz w:val="26"/>
              </w:rPr>
              <w:t>IS NOT: God Himself</w:t>
            </w:r>
          </w:p>
        </w:tc>
        <w:tc>
          <w:tcPr>
            <w:tcW w:type="dxa" w:w="4752"/>
            <w:vAlign w:val="center"/>
          </w:tcPr>
          <w:p>
            <w:pPr>
              <w:spacing w:before="280" w:after="280"/>
              <w:jc w:val="center"/>
            </w:pPr>
            <w:r>
              <w:rPr>
                <w:b/>
                <w:color w:val="5B1933"/>
              </w:rPr>
              <w:t>CARD 6</w:t>
              <w:br/>
            </w:r>
            <w:r>
              <w:rPr>
                <w:sz w:val="26"/>
              </w:rPr>
              <w:t>IS NOT: A spark equal to the whole sun</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I am an eternal soul — conscious, individual, and meant for Kṛṣṇa's service.</w:t>
            </w:r>
          </w:p>
        </w:tc>
      </w:tr>
    </w:tbl>
    <w:p>
      <w:pPr>
        <w:jc w:val="center"/>
      </w:pPr>
      <w:r>
        <w:rPr>
          <w:i/>
          <w:color w:val="4F7C78"/>
          <w:sz w:val="22"/>
        </w:rPr>
        <w:t>Cut on the dashed borders. Keep each card intact.</w:t>
      </w:r>
    </w:p>
    <w:p>
      <w:r>
        <w:br w:type="page"/>
      </w:r>
    </w:p>
    <w:p>
      <w:pPr>
        <w:pStyle w:val="Heading1"/>
      </w:pPr>
      <w:r>
        <w:t>Y02 — Spark and Sun Match</w:t>
      </w:r>
    </w:p>
    <w:p>
      <w:pPr>
        <w:jc w:val="center"/>
      </w:pPr>
      <w:r>
        <w:t>Same light-nature — not the whole sun.</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spark-sun.png"/>
                    <pic:cNvPicPr/>
                  </pic:nvPicPr>
                  <pic:blipFill>
                    <a:blip r:embed="rId11"/>
                    <a:stretch>
                      <a:fillRect/>
                    </a:stretch>
                  </pic:blipFill>
                  <pic:spPr>
                    <a:xfrm>
                      <a:off x="0" y="0"/>
                      <a:ext cx="4572000" cy="304800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If a child says I am God, smile and correct: dear spark who serves.</w:t>
            </w:r>
          </w:p>
        </w:tc>
      </w:tr>
    </w:tbl>
    <w:p>
      <w:pPr>
        <w:spacing w:after="20"/>
      </w:pPr>
    </w:p>
    <w:p>
      <w:pPr>
        <w:jc w:val="center"/>
      </w:pPr>
      <w:r>
        <w:rPr>
          <w:i/>
          <w:color w:val="4F7C78"/>
          <w:sz w:val="22"/>
        </w:rPr>
        <w:t>Cut on the dashed borders. Keep each card intact.</w:t>
      </w:r>
    </w:p>
    <w:p>
      <w:r>
        <w:br w:type="page"/>
      </w:r>
    </w:p>
    <w:p>
      <w:pPr>
        <w:pStyle w:val="Heading1"/>
      </w:pPr>
      <w:r>
        <w:t>Y03 — Spark-Service Cue Craft</w:t>
      </w:r>
    </w:p>
    <w:p>
      <w:pPr>
        <w:jc w:val="center"/>
      </w:pPr>
      <w:r>
        <w:t>Care act + service act on the card.</w:t>
      </w:r>
    </w:p>
    <w:p>
      <w:r>
        <w:drawing>
          <wp:inline xmlns:a="http://schemas.openxmlformats.org/drawingml/2006/main" xmlns:pic="http://schemas.openxmlformats.org/drawingml/2006/picture">
            <wp:extent cx="4114800" cy="2939143"/>
            <wp:docPr id="2" name="Picture 2"/>
            <wp:cNvGraphicFramePr>
              <a:graphicFrameLocks noChangeAspect="1"/>
            </wp:cNvGraphicFramePr>
            <a:graphic>
              <a:graphicData uri="http://schemas.openxmlformats.org/drawingml/2006/picture">
                <pic:pic>
                  <pic:nvPicPr>
                    <pic:cNvPr id="0" name="spark-service-card.png"/>
                    <pic:cNvPicPr/>
                  </pic:nvPicPr>
                  <pic:blipFill>
                    <a:blip r:embed="rId12"/>
                    <a:stretch>
                      <a:fillRect/>
                    </a:stretch>
                  </pic:blipFill>
                  <pic:spPr>
                    <a:xfrm>
                      <a:off x="0" y="0"/>
                      <a:ext cx="4114800" cy="2939143"/>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My care act:</w:t>
            </w:r>
          </w:p>
          <w:p>
            <w:r>
              <w:t>________________________________________________________________</w:t>
            </w:r>
          </w:p>
        </w:tc>
      </w:tr>
      <w:tr>
        <w:tc>
          <w:tcPr>
            <w:tcW w:type="dxa" w:w="9936"/>
          </w:tcPr>
          <w:p>
            <w:r>
              <w:rPr>
                <w:b/>
              </w:rPr>
              <w:t>My service act:</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I am an eternal soul — conscious, individual, and meant for Kṛṣṇa's service.</w:t>
            </w:r>
          </w:p>
        </w:tc>
      </w:tr>
    </w:tbl>
    <w:p>
      <w:r>
        <w:br w:type="page"/>
      </w:r>
    </w:p>
    <w:p>
      <w:pPr>
        <w:pStyle w:val="Heading1"/>
      </w:pPr>
      <w:r>
        <w:t>Y04 — Care-as-Service Cards</w:t>
      </w:r>
    </w:p>
    <w:p>
      <w:pPr>
        <w:jc w:val="center"/>
      </w:pPr>
      <w:r>
        <w:t>Sort CARE HELPS SERVICE vs BODY NEGLECT.</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CARE: Sleep so I can serve</w:t>
            </w:r>
          </w:p>
        </w:tc>
        <w:tc>
          <w:tcPr>
            <w:tcW w:type="dxa" w:w="4752"/>
            <w:vAlign w:val="center"/>
          </w:tcPr>
          <w:p>
            <w:pPr>
              <w:spacing w:before="280" w:after="280"/>
              <w:jc w:val="center"/>
            </w:pPr>
            <w:r>
              <w:rPr>
                <w:b/>
                <w:color w:val="5B1933"/>
              </w:rPr>
              <w:t>CARD 2</w:t>
              <w:br/>
            </w:r>
            <w:r>
              <w:rPr>
                <w:sz w:val="26"/>
              </w:rPr>
              <w:t>CARE: Drink water</w:t>
            </w:r>
          </w:p>
        </w:tc>
      </w:tr>
      <w:tr>
        <w:tc>
          <w:tcPr>
            <w:tcW w:type="dxa" w:w="4752"/>
            <w:vAlign w:val="center"/>
          </w:tcPr>
          <w:p>
            <w:pPr>
              <w:spacing w:before="280" w:after="280"/>
              <w:jc w:val="center"/>
            </w:pPr>
            <w:r>
              <w:rPr>
                <w:b/>
                <w:color w:val="5B1933"/>
              </w:rPr>
              <w:t>CARD 3</w:t>
              <w:br/>
            </w:r>
            <w:r>
              <w:rPr>
                <w:sz w:val="26"/>
              </w:rPr>
              <w:t>CARE: Brush teeth</w:t>
            </w:r>
          </w:p>
        </w:tc>
        <w:tc>
          <w:tcPr>
            <w:tcW w:type="dxa" w:w="4752"/>
            <w:vAlign w:val="center"/>
          </w:tcPr>
          <w:p>
            <w:pPr>
              <w:spacing w:before="280" w:after="280"/>
              <w:jc w:val="center"/>
            </w:pPr>
            <w:r>
              <w:rPr>
                <w:b/>
                <w:color w:val="5B1933"/>
              </w:rPr>
              <w:t>CARD 4</w:t>
              <w:br/>
            </w:r>
            <w:r>
              <w:rPr>
                <w:sz w:val="26"/>
              </w:rPr>
              <w:t>NEGLECT: Ignore rest because soul</w:t>
            </w:r>
          </w:p>
        </w:tc>
      </w:tr>
      <w:tr>
        <w:tc>
          <w:tcPr>
            <w:tcW w:type="dxa" w:w="4752"/>
            <w:vAlign w:val="center"/>
          </w:tcPr>
          <w:p>
            <w:pPr>
              <w:spacing w:before="280" w:after="280"/>
              <w:jc w:val="center"/>
            </w:pPr>
            <w:r>
              <w:rPr>
                <w:b/>
                <w:color w:val="5B1933"/>
              </w:rPr>
              <w:t>CARD 5</w:t>
              <w:br/>
            </w:r>
            <w:r>
              <w:rPr>
                <w:sz w:val="26"/>
              </w:rPr>
              <w:t>NEGLECT: Body is trash</w:t>
            </w:r>
          </w:p>
        </w:tc>
        <w:tc>
          <w:tcPr>
            <w:tcW w:type="dxa" w:w="4752"/>
            <w:vAlign w:val="center"/>
          </w:tcPr>
          <w:p>
            <w:pPr>
              <w:spacing w:before="280" w:after="280"/>
              <w:jc w:val="center"/>
            </w:pPr>
            <w:r>
              <w:rPr>
                <w:b/>
                <w:color w:val="5B1933"/>
              </w:rPr>
              <w:t>CARD 6</w:t>
              <w:br/>
            </w:r>
            <w:r>
              <w:rPr>
                <w:sz w:val="26"/>
              </w:rPr>
              <w:t>NEGLECT: Skip hygiene to look spiritual</w:t>
            </w:r>
          </w:p>
        </w:tc>
      </w:tr>
    </w:tbl>
    <w:p>
      <w:pPr>
        <w:jc w:val="center"/>
      </w:pPr>
      <w:r>
        <w:rPr>
          <w:i/>
          <w:color w:val="4F7C78"/>
          <w:sz w:val="22"/>
        </w:rPr>
        <w:t>Cut on the dashed borders. Keep each card intact.</w:t>
      </w:r>
    </w:p>
    <w:p>
      <w:r>
        <w:br w:type="page"/>
      </w:r>
    </w:p>
    <w:p>
      <w:pPr>
        <w:pStyle w:val="Heading1"/>
      </w:pPr>
      <w:r>
        <w:t>Y05 — Memory Phrase Mat</w:t>
      </w:r>
    </w:p>
    <w:p>
      <w:pPr>
        <w:jc w:val="center"/>
      </w:pPr>
      <w:r>
        <w:t>Landing mat for Spark-and-Serve.</w:t>
      </w:r>
    </w:p>
    <w:p>
      <w:r>
        <w:drawing>
          <wp:inline xmlns:a="http://schemas.openxmlformats.org/drawingml/2006/main" xmlns:pic="http://schemas.openxmlformats.org/drawingml/2006/picture">
            <wp:extent cx="4572000" cy="3135086"/>
            <wp:docPr id="3" name="Picture 3"/>
            <wp:cNvGraphicFramePr>
              <a:graphicFrameLocks noChangeAspect="1"/>
            </wp:cNvGraphicFramePr>
            <a:graphic>
              <a:graphicData uri="http://schemas.openxmlformats.org/drawingml/2006/picture">
                <pic:pic>
                  <pic:nvPicPr>
                    <pic:cNvPr id="0" name="memory-mat.png"/>
                    <pic:cNvPicPr/>
                  </pic:nvPicPr>
                  <pic:blipFill>
                    <a:blip r:embed="rId13"/>
                    <a:stretch>
                      <a:fillRect/>
                    </a:stretch>
                  </pic:blipFill>
                  <pic:spPr>
                    <a:xfrm>
                      <a:off x="0" y="0"/>
                      <a:ext cx="4572000" cy="3135086"/>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I am an eternal soul — conscious, individual, and meant for Kṛṣṇa's service.</w:t>
            </w:r>
          </w:p>
        </w:tc>
      </w:tr>
    </w:tbl>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C1-W3 • V13  |  Younger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