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FF8E8"/>
  <w:body>
    <w:p>
      <w:pPr>
        <w:spacing w:before="936"/>
        <w:jc w:val="center"/>
      </w:pPr>
      <w:r>
        <w:rPr>
          <w:rFonts w:ascii="Segoe UI" w:hAnsi="Segoe UI" w:eastAsia="Segoe UI" w:cs="Segoe UI"/>
          <w:b/>
          <w:color w:val="E59B24"/>
          <w:sz w:val="36"/>
        </w:rPr>
        <w:t>KUTUMBA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</w:tblGrid>
      <w:tr>
        <w:tc>
          <w:tcPr>
            <w:tcW w:type="dxa" w:w="9936"/>
            <w:shd w:fill="5B1933"/>
          </w:tcPr>
          <w:p>
            <w:r/>
          </w:p>
        </w:tc>
      </w:tr>
    </w:tbl>
    <w:p>
      <w:pPr>
        <w:pStyle w:val="Title"/>
        <w:spacing w:before="792"/>
        <w:jc w:val="center"/>
      </w:pPr>
      <w:r>
        <w:t>C1-W5 — Younger Teacher Pack</w:t>
      </w:r>
    </w:p>
    <w:p>
      <w:pPr>
        <w:pStyle w:val="Subtitle"/>
        <w:jc w:val="center"/>
      </w:pPr>
      <w:r>
        <w:t>K–2 run sheet and activities</w:t>
      </w:r>
    </w:p>
    <w:p>
      <w:pPr>
        <w:spacing w:before="360"/>
        <w:jc w:val="center"/>
      </w:pPr>
      <w:r>
        <w:rPr>
          <w:rFonts w:ascii="Cambria" w:hAnsi="Cambria" w:eastAsia="Cambria" w:cs="Cambria"/>
          <w:b/>
          <w:color w:val="7A263A"/>
          <w:sz w:val="24"/>
        </w:rPr>
        <w:t>C1-W5 • The Temporary World and the Search for Permanent Happiness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E3CA91"/>
          <w:left w:val="single" w:sz="5" w:color="E3CA91"/>
          <w:bottom w:val="single" w:sz="5" w:color="E3CA91"/>
          <w:right w:val="single" w:sz="5" w:color="E3CA91"/>
          <w:insideH w:val="single" w:sz="5" w:color="E3CA91"/>
          <w:insideV w:val="single" w:sz="5" w:color="E3CA91"/>
        </w:tblBorders>
      </w:tblPr>
      <w:tblGrid>
        <w:gridCol w:w="8352"/>
      </w:tblGrid>
      <w:tr>
        <w:tc>
          <w:tcPr>
            <w:tcW w:type="dxa" w:w="9936"/>
            <w:tcMar>
              <w:top w:w="130" w:type="dxa"/>
              <w:start w:w="180" w:type="dxa"/>
              <w:bottom w:w="130" w:type="dxa"/>
              <w:end w:w="180" w:type="dxa"/>
            </w:tcMar>
            <w:vAlign w:val="center"/>
            <w:shd w:fill="F8E8BF"/>
          </w:tcPr>
          <w:p>
            <w:pPr>
              <w:jc w:val="center"/>
            </w:pPr>
            <w:r>
              <w:rPr>
                <w:b/>
              </w:rPr>
              <w:t>V13  •  Families Growing in Krishna Consciousness</w:t>
              <w:br/>
              <w:t>Program Director: Swapnil Patil</w:t>
            </w:r>
          </w:p>
        </w:tc>
      </w:tr>
      <w:tr>
        <w:tc>
          <w:tcPr>
            <w:tcW w:type="dxa" w:w="9936"/>
            <w:tcMar>
              <w:top w:w="130" w:type="dxa"/>
              <w:start w:w="180" w:type="dxa"/>
              <w:bottom w:w="130" w:type="dxa"/>
              <w:end w:w="180" w:type="dxa"/>
            </w:tcMar>
            <w:vAlign w:val="center"/>
            <w:shd w:fill="E4F0ED"/>
          </w:tcPr>
          <w:p>
            <w:pPr>
              <w:jc w:val="center"/>
            </w:pPr>
            <w:r>
              <w:rPr>
                <w:i/>
                <w:color w:val="5B1933"/>
              </w:rPr>
              <w:t>Internal founding-cohort teaching material — human/temple review EXTERNAL_OPEN</w:t>
            </w:r>
          </w:p>
        </w:tc>
      </w:tr>
    </w:tbl>
    <w:p>
      <w:pPr>
        <w:spacing w:before="1440"/>
        <w:jc w:val="center"/>
      </w:pPr>
      <w:r>
        <w:rPr>
          <w:rFonts w:ascii="Segoe UI" w:hAnsi="Segoe UI" w:eastAsia="Segoe UI" w:cs="Segoe UI"/>
          <w:color w:val="4F7C78"/>
          <w:sz w:val="18"/>
        </w:rPr>
        <w:t>KUTUMBA  |  Families Growing in Krishna Consciousness</w:t>
      </w:r>
    </w:p>
    <w:p>
      <w:r>
        <w:br w:type="page"/>
      </w:r>
    </w:p>
    <w:p>
      <w:pPr>
        <w:pStyle w:val="Heading1"/>
      </w:pPr>
      <w:r>
        <w:t>Locked Saturday Schedule</w:t>
      </w:r>
    </w:p>
    <w:tbl>
      <w:tblPr>
        <w:tblStyle w:val="KUTUMBATable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color="D8C8B2"/>
          <w:left w:val="single" w:sz="6" w:color="D8C8B2"/>
          <w:bottom w:val="single" w:sz="6" w:color="D8C8B2"/>
          <w:right w:val="single" w:sz="6" w:color="D8C8B2"/>
          <w:insideH w:val="single" w:sz="6" w:color="D8C8B2"/>
          <w:insideV w:val="single" w:sz="6" w:color="D8C8B2"/>
        </w:tblBorders>
      </w:tblPr>
      <w:tblGrid>
        <w:gridCol w:w="4968"/>
        <w:gridCol w:w="4968"/>
      </w:tblGrid>
      <w:tr>
        <w:trPr>
          <w:tblHeader w:val="true"/>
        </w:trPr>
        <w:tc>
          <w:tcPr>
            <w:tcW w:type="dxa" w:w="4968"/>
            <w:shd w:fill="5B193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Time</w:t>
            </w:r>
          </w:p>
        </w:tc>
        <w:tc>
          <w:tcPr>
            <w:tcW w:type="dxa" w:w="4968"/>
            <w:shd w:fill="5B193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Block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1:50–2:00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Arrival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2:00–2:10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Opening mantras + welcome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2:10–2:30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All-family launch/orientation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2:30–3:10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Parallel tracks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3:10–3:30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Reunification + bhakti laboratory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3:30–3:40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Snack + water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3:40–3:55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Saṅkalpa + project + home practice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3:55–4:00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Close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4F7C78"/>
          <w:left w:val="single" w:sz="8" w:color="4F7C78"/>
          <w:bottom w:val="single" w:sz="8" w:color="4F7C78"/>
          <w:right w:val="single" w:sz="8" w:color="4F7C78"/>
          <w:insideH w:val="single" w:sz="8" w:color="4F7C78"/>
          <w:insideV w:val="single" w:sz="8" w:color="4F7C78"/>
        </w:tblBorders>
      </w:tblPr>
      <w:tblGrid>
        <w:gridCol w:w="1944"/>
        <w:gridCol w:w="8136"/>
      </w:tblGrid>
      <w:tr>
        <w:tc>
          <w:tcPr>
            <w:tcW w:type="dxa" w:w="4968"/>
            <w:shd w:fill="4F7C78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Label"/>
              <w:jc w:val="center"/>
            </w:pPr>
            <w:r>
              <w:t>TIME CUE</w:t>
            </w:r>
          </w:p>
        </w:tc>
        <w:tc>
          <w:tcPr>
            <w:tcW w:type="dxa" w:w="4968"/>
            <w:shd w:fill="EFF0F1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Body"/>
            </w:pPr>
            <w:r>
              <w:t>Track handoff is at 2:30; all groups reunite at 3:10.</w:t>
            </w:r>
          </w:p>
        </w:tc>
      </w:tr>
    </w:tbl>
    <w:p>
      <w:pPr>
        <w:spacing w:after="20"/>
      </w:pPr>
    </w:p>
    <w:p>
      <w:r>
        <w:t>Primary verse: BG 8.15</w:t>
      </w:r>
    </w:p>
    <w:p>
      <w:r>
        <w:t>Source URL: https://vedabase.io/en/library/bg/8/15/</w:t>
      </w:r>
    </w:p>
    <w:p>
      <w:r>
        <w:br w:type="page"/>
      </w:r>
    </w:p>
    <w:p>
      <w:pPr>
        <w:pStyle w:val="Heading1"/>
      </w:pPr>
      <w:r>
        <w:t>Younger Teacher Run Sheet</w:t>
      </w:r>
    </w:p>
    <w:p>
      <w:pPr>
        <w:pStyle w:val="KUTUMBARights"/>
      </w:pPr>
      <w:r>
        <w:t>Canonical source: 11-weekly-program-library/first-six-months/c1-w5-the-temporary-world-and-the-search-for-permanent-happiness/teacher/YOUNGER-TEACHER-GUIDE-V13.md  •  SHA-256: 8f653d8ce37666b724253ef696315151f5a640628fb4889caa25a545a251347b</w:t>
      </w:r>
    </w:p>
    <w:p>
      <w:r>
        <w:rPr>
          <w:b/>
        </w:rPr>
        <w:t>Week ID:</w:t>
      </w:r>
      <w:r>
        <w:t xml:space="preserve"> C1-W5 · </w:t>
      </w:r>
      <w:r>
        <w:rPr>
          <w:b/>
        </w:rPr>
        <w:t>Date:</w:t>
      </w:r>
      <w:r>
        <w:t xml:space="preserve"> 2026-10-10 · </w:t>
      </w:r>
      <w:r>
        <w:rPr>
          <w:b/>
        </w:rPr>
        <w:t>Entry:</w:t>
      </w:r>
      <w:r>
        <w:t xml:space="preserve"> V13-WEEK-START-HERE.md\n\n</w:t>
      </w:r>
      <w:r>
        <w:rPr>
          <w:b/>
        </w:rPr>
        <w:t>Week:</w:t>
      </w:r>
      <w:r>
        <w:t xml:space="preserve"> The Temporary World and the Search for Permanent Happiness </w:t>
      </w:r>
      <w:r>
        <w:rPr>
          <w:b/>
        </w:rPr>
        <w:t>Primary:</w:t>
      </w:r>
      <w:r>
        <w:t xml:space="preserve"> BG 8.15 — https://vedabase.io/en/library/bg/8/15/ </w:t>
      </w:r>
      <w:r>
        <w:rPr>
          <w:b/>
        </w:rPr>
        <w:t>Session length:</w:t>
      </w:r>
      <w:r>
        <w:t xml:space="preserve"> 40 minutes (parallel track ~2:30–3:10) </w:t>
      </w:r>
      <w:r>
        <w:rPr>
          <w:b/>
        </w:rPr>
        <w:t>Parents:</w:t>
      </w:r>
      <w:r>
        <w:t xml:space="preserve"> Remain onsite; reunite at 3:10 </w:t>
      </w:r>
      <w:r>
        <w:rPr>
          <w:b/>
        </w:rPr>
        <w:t>Status:</w:t>
      </w:r>
      <w:r>
        <w:t xml:space="preserve"> Internal founding-cohort teaching material — human/temple review EXTERNAL_OPEN</w:t>
      </w:r>
    </w:p>
    <w:p>
      <w:pPr>
        <w:pStyle w:val="Heading2"/>
      </w:pPr>
      <w:r>
        <w:t>Objective</w:t>
      </w:r>
    </w:p>
    <w:p>
      <w:r>
        <w:t xml:space="preserve">Children experience that </w:t>
      </w:r>
      <w:r>
        <w:rPr>
          <w:b/>
        </w:rPr>
        <w:t>temporary joys</w:t>
      </w:r>
      <w:r>
        <w:t xml:space="preserve"> can be received with </w:t>
      </w:r>
      <w:r>
        <w:rPr>
          <w:b/>
        </w:rPr>
        <w:t>gratitude</w:t>
      </w:r>
      <w:r>
        <w:t xml:space="preserve">, while </w:t>
      </w:r>
      <w:r>
        <w:rPr>
          <w:b/>
        </w:rPr>
        <w:t>lasting fulfillment</w:t>
      </w:r>
      <w:r>
        <w:t xml:space="preserve"> is in Kṛṣṇa. They make a sparkler/lamp thank-you card — without shaming toys or hugs.</w:t>
      </w:r>
    </w:p>
    <w:p>
      <w:pPr>
        <w:pStyle w:val="Heading2"/>
      </w:pPr>
      <w:r>
        <w:t>Exact memory phrase</w:t>
      </w:r>
    </w:p>
    <w:p>
      <w:pPr>
        <w:pStyle w:val="Quote"/>
      </w:pPr>
      <w:r>
        <w:t>Temporary joys can be used with gratitude; lasting fulfillment is in Kṛṣṇa.</w:t>
      </w:r>
    </w:p>
    <w:p>
      <w:pPr>
        <w:pStyle w:val="Heading2"/>
      </w:pPr>
      <w:r>
        <w:t>Teacher background (2 minutes to review)</w:t>
      </w:r>
    </w:p>
    <w:p>
      <w:pPr>
        <w:pStyle w:val="ListBullet"/>
      </w:pPr>
      <w:r>
        <w:rPr>
          <w:b/>
        </w:rPr>
        <w:t>KUTUMBA teaching meaning (adult wording):</w:t>
      </w:r>
      <w:r>
        <w:t xml:space="preserve"> Having attained the Lord, great souls do not return again to this temporary world of misery; they have reached the highest perfection.</w:t>
      </w:r>
    </w:p>
    <w:p>
      <w:pPr>
        <w:pStyle w:val="ListBullet"/>
      </w:pPr>
      <w:r>
        <w:rPr>
          <w:b/>
        </w:rPr>
        <w:t>Child-facing paraphrase:</w:t>
      </w:r>
      <w:r>
        <w:t xml:space="preserve"> Toys and parties are like sparklers — bright and short. Kṛṣṇa is like a steady lamp. We say thank you for sparklers; we look for lasting light in Kṛṣṇa. Hugs and fun are not “bad.”</w:t>
      </w:r>
    </w:p>
    <w:p>
      <w:pPr>
        <w:pStyle w:val="ListBullet"/>
      </w:pPr>
      <w:r>
        <w:rPr>
          <w:b/>
        </w:rPr>
        <w:t>Block misconceptions (child words):</w:t>
      </w:r>
    </w:p>
    <w:p>
      <w:pPr>
        <w:pStyle w:val="ListBullet"/>
      </w:pPr>
      <w:r>
        <w:t>“Toys and family love are worthless.”</w:t>
      </w:r>
    </w:p>
    <w:p>
      <w:pPr>
        <w:pStyle w:val="ListBullet"/>
      </w:pPr>
      <w:r>
        <w:t>“The next buy will finally make me happy forever.”</w:t>
      </w:r>
    </w:p>
    <w:p>
      <w:pPr>
        <w:pStyle w:val="ListBullet"/>
      </w:pPr>
      <w:r>
        <w:t>“Science proves detachment / proves Kṛṣṇa.”</w:t>
      </w:r>
    </w:p>
    <w:p>
      <w:pPr>
        <w:pStyle w:val="ListBullet"/>
      </w:pPr>
      <w:r>
        <w:rPr>
          <w:b/>
        </w:rPr>
        <w:t>Do not:</w:t>
      </w:r>
      <w:r>
        <w:t xml:space="preserve"> invent deity dialogue; shame a child’s joy; promise identical Dhruva results; treat BG 5.22 as the locked primary (support only).</w:t>
      </w:r>
    </w:p>
    <w:p>
      <w:pPr>
        <w:pStyle w:val="Heading2"/>
      </w:pPr>
      <w:r>
        <w:t>Materials</w:t>
      </w:r>
    </w:p>
    <w:p>
      <w:pPr>
        <w:pStyle w:val="ListBullet"/>
      </w:pPr>
      <w:r>
        <w:t>Sparkler picture + lamp picture (safe drawings — no real sparklers indoors)</w:t>
      </w:r>
    </w:p>
    <w:p>
      <w:pPr>
        <w:pStyle w:val="ListBullet"/>
      </w:pPr>
      <w:r>
        <w:t>Small offering-plate prop or paper plate</w:t>
      </w:r>
    </w:p>
    <w:p>
      <w:pPr>
        <w:pStyle w:val="ListBullet"/>
      </w:pPr>
      <w:r>
        <w:t>Card stock for Thank-You / Lamp cards</w:t>
      </w:r>
    </w:p>
    <w:p>
      <w:pPr>
        <w:pStyle w:val="ListBullet"/>
      </w:pPr>
      <w:r>
        <w:t>Crayons; soft toss object; line-art if available</w:t>
      </w:r>
    </w:p>
    <w:p>
      <w:pPr>
        <w:pStyle w:val="ListBullet"/>
      </w:pPr>
      <w:r>
        <w:t>Calm-corner chair</w:t>
      </w:r>
    </w:p>
    <w:p>
      <w:pPr>
        <w:pStyle w:val="Heading2"/>
      </w:pPr>
      <w:r>
        <w:t>Room setup</w:t>
      </w:r>
    </w:p>
    <w:p>
      <w:r>
        <w:t>Circle; sparkler vs lamp cards visible; space for Sparkle-and-Still movement.</w:t>
      </w:r>
    </w:p>
    <w:p>
      <w:pPr>
        <w:pStyle w:val="Heading2"/>
      </w:pPr>
      <w:r>
        <w:t>Minute-by-minute executable plan</w:t>
      </w:r>
    </w:p>
    <w:p>
      <w:pPr>
        <w:pStyle w:val="Heading3"/>
      </w:pPr>
      <w:r>
        <w:t>0–5 min — Opening and recall</w:t>
      </w:r>
    </w:p>
    <w:p>
      <w:pPr>
        <w:ind w:left="288"/>
      </w:pPr>
      <w:r>
        <w:t>1. Welcome; feet on floor.</w:t>
      </w:r>
    </w:p>
    <w:p>
      <w:pPr>
        <w:ind w:left="288"/>
      </w:pPr>
      <w:r>
        <w:t>2. Show sparkler card then lamp card: “Brief flash / lasting light.”</w:t>
      </w:r>
    </w:p>
    <w:p>
      <w:pPr>
        <w:ind w:left="288"/>
      </w:pPr>
      <w:r>
        <w:t xml:space="preserve">3. Echo memory phrase twice (two halves): </w:t>
      </w:r>
      <w:r>
        <w:rPr>
          <w:i/>
        </w:rPr>
        <w:t>Temporary joys with gratitude; / lasting fulfillment in Kṛṣṇa.</w:t>
      </w:r>
    </w:p>
    <w:p>
      <w:pPr>
        <w:ind w:left="288"/>
      </w:pPr>
      <w:r>
        <w:t>4. Ask: “What is one fun thing you enjoyed this week?” Affirm; add “Thank You, Kṛṣṇa” together once.</w:t>
      </w:r>
    </w:p>
    <w:p>
      <w:pPr>
        <w:pStyle w:val="Heading3"/>
      </w:pPr>
      <w:r>
        <w:t>5–13 min — Story script (paraphrase only; ~8 minutes)</w:t>
      </w:r>
    </w:p>
    <w:p>
      <w:r>
        <w:rPr>
          <w:b/>
        </w:rPr>
        <w:t>Say exactly this spine (do not invent deity dialogue):</w:t>
      </w:r>
    </w:p>
    <w:p>
      <w:pPr>
        <w:pStyle w:val="Quote"/>
      </w:pPr>
      <w:r>
        <w:t xml:space="preserve">Kṛṣṇa teaches that great souls who attain the Lord do not return again to this temporary world of misery — they reach the highest perfection. “Temporary world of misery” does </w:t>
      </w:r>
      <w:r>
        <w:rPr>
          <w:b/>
        </w:rPr>
        <w:t>not</w:t>
      </w:r>
      <w:r>
        <w:t xml:space="preserve"> mean birthdays are bad or parents’ hugs are worthless. It means temporary things cannot be our final forever home. A sparkler is fun — then it fades. A lamp keeps shining. We can enjoy a sparkler and still remember the lamp. Sometimes people think the next toy will finally finish wanting. Wanting can keep growing — like drinking salty water in a story picture (not a doctor claim). Better: enjoy, say thank you, and remember Kṛṣṇa. Dhruva’s story shows mixed wishes can turn toward the Lord — we do not promise the same results to every child. Tonight we practice: gratitude for temporary joys; lasting fulfillment in Kṛṣṇa.</w:t>
      </w:r>
    </w:p>
    <w:p>
      <w:r>
        <w:rPr>
          <w:b/>
        </w:rPr>
        <w:t>Story boundaries:</w:t>
      </w:r>
      <w:r>
        <w:t xml:space="preserve"> BG 8.15 primary; BG 5.22 / 9.27 support only; Dhruva paraphrase without result guarantees. No shame. No invented quotes.</w:t>
      </w:r>
    </w:p>
    <w:p>
      <w:pPr>
        <w:pStyle w:val="Heading3"/>
      </w:pPr>
      <w:r>
        <w:t>13–16 min — Three wonder questions</w:t>
      </w:r>
    </w:p>
    <w:p>
      <w:pPr>
        <w:ind w:left="288"/>
      </w:pPr>
      <w:r>
        <w:t>1. Are hugs and toys worthless? (</w:t>
      </w:r>
      <w:r>
        <w:rPr>
          <w:b/>
        </w:rPr>
        <w:t>No</w:t>
      </w:r>
      <w:r>
        <w:t xml:space="preserve"> — receive with thanks)</w:t>
      </w:r>
    </w:p>
    <w:p>
      <w:pPr>
        <w:ind w:left="288"/>
      </w:pPr>
      <w:r>
        <w:t>2. Can a sparkler be our forever home? (</w:t>
      </w:r>
      <w:r>
        <w:rPr>
          <w:b/>
        </w:rPr>
        <w:t>No</w:t>
      </w:r>
      <w:r>
        <w:t>)</w:t>
      </w:r>
    </w:p>
    <w:p>
      <w:pPr>
        <w:ind w:left="288"/>
      </w:pPr>
      <w:r>
        <w:t>3. Whom do we remember for lasting fulfillment? (</w:t>
      </w:r>
      <w:r>
        <w:rPr>
          <w:b/>
        </w:rPr>
        <w:t>Kṛṣṇa</w:t>
      </w:r>
      <w:r>
        <w:t>)</w:t>
      </w:r>
    </w:p>
    <w:p>
      <w:pPr>
        <w:pStyle w:val="Heading3"/>
      </w:pPr>
      <w:r>
        <w:t>16–24 min — Movement game: Sparkle and Still (steps)</w:t>
      </w:r>
    </w:p>
    <w:p>
      <w:pPr>
        <w:ind w:left="288"/>
      </w:pPr>
      <w:r>
        <w:t>1. Children stand in open space.</w:t>
      </w:r>
    </w:p>
    <w:p>
      <w:pPr>
        <w:ind w:left="288"/>
      </w:pPr>
      <w:r>
        <w:t xml:space="preserve">2. Teacher calls </w:t>
      </w:r>
      <w:r>
        <w:rPr>
          <w:b/>
        </w:rPr>
        <w:t>Sparkle!</w:t>
      </w:r>
      <w:r>
        <w:t xml:space="preserve"> — gentle finger wiggles for three seconds (temporary joy).</w:t>
      </w:r>
    </w:p>
    <w:p>
      <w:pPr>
        <w:ind w:left="288"/>
      </w:pPr>
      <w:r>
        <w:t xml:space="preserve">3. Teacher calls </w:t>
      </w:r>
      <w:r>
        <w:rPr>
          <w:b/>
        </w:rPr>
        <w:t>Thank You!</w:t>
      </w:r>
      <w:r>
        <w:t xml:space="preserve"> — hands together; whisper “Thank You, Kṛṣṇa.”</w:t>
      </w:r>
    </w:p>
    <w:p>
      <w:pPr>
        <w:ind w:left="288"/>
      </w:pPr>
      <w:r>
        <w:t xml:space="preserve">4. Teacher calls </w:t>
      </w:r>
      <w:r>
        <w:rPr>
          <w:b/>
        </w:rPr>
        <w:t>Still lamp!</w:t>
      </w:r>
      <w:r>
        <w:t xml:space="preserve"> — freeze tall; whisper second half of memory phrase.</w:t>
      </w:r>
    </w:p>
    <w:p>
      <w:pPr>
        <w:ind w:left="288"/>
      </w:pPr>
      <w:r>
        <w:t>5. Three rounds. Round three: show two endings — (A) grab next toy with angry want; (B) enjoy + thanks. Point to B on Still lamp.</w:t>
      </w:r>
    </w:p>
    <w:p>
      <w:pPr>
        <w:ind w:left="288"/>
      </w:pPr>
      <w:r>
        <w:t>6. End seated; full phrase once.</w:t>
      </w:r>
    </w:p>
    <w:p>
      <w:pPr>
        <w:pStyle w:val="Heading3"/>
      </w:pPr>
      <w:r>
        <w:t>24–32 min — Craft: Thank-You / Lamp card (steps)</w:t>
      </w:r>
    </w:p>
    <w:p>
      <w:pPr>
        <w:ind w:left="288"/>
      </w:pPr>
      <w:r>
        <w:t>1. Fold card stock.</w:t>
      </w:r>
    </w:p>
    <w:p>
      <w:pPr>
        <w:ind w:left="288"/>
      </w:pPr>
      <w:r>
        <w:t xml:space="preserve">2. Outside left: draw a sparkler or favorite toy; label </w:t>
      </w:r>
      <w:r>
        <w:rPr>
          <w:b/>
        </w:rPr>
        <w:t>Thanks</w:t>
      </w:r>
      <w:r>
        <w:t>.</w:t>
      </w:r>
    </w:p>
    <w:p>
      <w:pPr>
        <w:ind w:left="288"/>
      </w:pPr>
      <w:r>
        <w:t xml:space="preserve">3. Outside right: draw a simple lamp; label </w:t>
      </w:r>
      <w:r>
        <w:rPr>
          <w:b/>
        </w:rPr>
        <w:t>Kṛṣṇa</w:t>
      </w:r>
      <w:r>
        <w:t>.</w:t>
      </w:r>
    </w:p>
    <w:p>
      <w:pPr>
        <w:ind w:left="288"/>
      </w:pPr>
      <w:r>
        <w:t xml:space="preserve">4. Inside: write memory phrase (helper may write) or short: </w:t>
      </w:r>
      <w:r>
        <w:rPr>
          <w:i/>
        </w:rPr>
        <w:t>Thanks for sparklers; lamp is Kṛṣṇa.</w:t>
      </w:r>
    </w:p>
    <w:p>
      <w:pPr>
        <w:ind w:left="288"/>
      </w:pPr>
      <w:r>
        <w:t>5. Back: child draws one temporary joy + one offering/thanks moment (plate, prayer hands).</w:t>
      </w:r>
    </w:p>
    <w:p>
      <w:pPr>
        <w:ind w:left="288"/>
      </w:pPr>
      <w:r>
        <w:t>6. Practice: touch Thanks → Lamp while saying the phrase.</w:t>
      </w:r>
    </w:p>
    <w:p>
      <w:r>
        <w:t xml:space="preserve">Full steps in </w:t>
      </w:r>
      <w:r>
        <w:rPr>
          <w:rFonts w:ascii="Consolas" w:hAnsi="Consolas"/>
          <w:color w:val="7A263A"/>
          <w:sz w:val="18"/>
        </w:rPr>
        <w:t>activities/v13-younger/</w:t>
      </w:r>
      <w:r>
        <w:t>.</w:t>
      </w:r>
    </w:p>
    <w:p>
      <w:pPr>
        <w:pStyle w:val="Heading3"/>
      </w:pPr>
      <w:r>
        <w:t>32–35 min — Printable / coloring task</w:t>
      </w:r>
    </w:p>
    <w:p>
      <w:r>
        <w:t>Line-art if time; else keep card.</w:t>
      </w:r>
    </w:p>
    <w:p>
      <w:pPr>
        <w:pStyle w:val="Heading3"/>
      </w:pPr>
      <w:r>
        <w:t>35–38 min — Behavior redirects and quiet reset</w:t>
      </w:r>
    </w:p>
    <w:p>
      <w:pPr>
        <w:pStyle w:val="ListBullet"/>
      </w:pPr>
      <w:r>
        <w:rPr>
          <w:b/>
        </w:rPr>
        <w:t>Toy shame from peer</w:t>
      </w:r>
      <w:r>
        <w:t xml:space="preserve"> — “Joy with thanks is okay.”</w:t>
      </w:r>
    </w:p>
    <w:p>
      <w:pPr>
        <w:pStyle w:val="ListBullet"/>
      </w:pPr>
      <w:r>
        <w:rPr>
          <w:b/>
        </w:rPr>
        <w:t>Grabby want</w:t>
      </w:r>
      <w:r>
        <w:t xml:space="preserve"> — “Sparkle, then Thank You.”</w:t>
      </w:r>
    </w:p>
    <w:p>
      <w:pPr>
        <w:pStyle w:val="ListBullet"/>
      </w:pPr>
      <w:r>
        <w:rPr>
          <w:b/>
        </w:rPr>
        <w:t>Running</w:t>
      </w:r>
      <w:r>
        <w:t xml:space="preserve"> — “Still lamp bodies.”</w:t>
      </w:r>
    </w:p>
    <w:p>
      <w:pPr>
        <w:pStyle w:val="ListBullet"/>
      </w:pPr>
      <w:r>
        <w:rPr>
          <w:b/>
        </w:rPr>
        <w:t>Quiet reset</w:t>
      </w:r>
      <w:r>
        <w:t xml:space="preserve"> — calm corner with lamp card.</w:t>
      </w:r>
    </w:p>
    <w:p>
      <w:pPr>
        <w:pStyle w:val="Heading3"/>
      </w:pPr>
      <w:r>
        <w:t>38–40 min — Cleanup and parent handoff</w:t>
      </w:r>
    </w:p>
    <w:p>
      <w:pPr>
        <w:pStyle w:val="Quote"/>
      </w:pPr>
      <w:r>
        <w:t>Memory: “Temporary joys can be used with gratitude; lasting fulfillment is in Kṛṣṇa.” Home cue: before one fun thing, say “Thank You, Kṛṣṇa.” Do not shame toys. Gratitude research ≠ proof of Kṛṣṇa.</w:t>
      </w:r>
    </w:p>
    <w:p>
      <w:pPr>
        <w:pStyle w:val="Heading2"/>
      </w:pPr>
      <w:r>
        <w:t>Behavior redirects (quick reference)</w:t>
      </w:r>
    </w:p>
    <w:tbl>
      <w:tblPr>
        <w:tblStyle w:val="KUTUMBATable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color="D8C8B2"/>
          <w:left w:val="single" w:sz="6" w:color="D8C8B2"/>
          <w:bottom w:val="single" w:sz="6" w:color="D8C8B2"/>
          <w:right w:val="single" w:sz="6" w:color="D8C8B2"/>
          <w:insideH w:val="single" w:sz="6" w:color="D8C8B2"/>
          <w:insideV w:val="single" w:sz="6" w:color="D8C8B2"/>
        </w:tblBorders>
      </w:tblPr>
      <w:tblGrid>
        <w:gridCol w:w="3312"/>
        <w:gridCol w:w="3312"/>
        <w:gridCol w:w="3312"/>
      </w:tblGrid>
      <w:tr>
        <w:trPr>
          <w:tblHeader w:val="true"/>
        </w:trPr>
        <w:tc>
          <w:tcPr>
            <w:tcW w:type="dxa" w:w="3312"/>
            <w:shd w:fill="5B193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Signal</w:t>
            </w:r>
          </w:p>
        </w:tc>
        <w:tc>
          <w:tcPr>
            <w:tcW w:type="dxa" w:w="3312"/>
            <w:shd w:fill="5B193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Teacher line</w:t>
            </w:r>
          </w:p>
        </w:tc>
        <w:tc>
          <w:tcPr>
            <w:tcW w:type="dxa" w:w="3312"/>
            <w:shd w:fill="5B193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Child action</w:t>
            </w:r>
          </w:p>
        </w:tc>
      </w:tr>
      <w:tr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Shaming joy</w:t>
            </w:r>
          </w:p>
        </w:tc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“Thanks is allowed.”</w:t>
            </w:r>
          </w:p>
        </w:tc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Soft rewrite</w:t>
            </w:r>
          </w:p>
        </w:tc>
      </w:tr>
      <w:tr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Grabby spiral</w:t>
            </w:r>
          </w:p>
        </w:tc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“Sparkle → Thank You.”</w:t>
            </w:r>
          </w:p>
        </w:tc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Pause + thanks</w:t>
            </w:r>
          </w:p>
        </w:tc>
      </w:tr>
      <w:tr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Running</w:t>
            </w:r>
          </w:p>
        </w:tc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“Still lamp.”</w:t>
            </w:r>
          </w:p>
        </w:tc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Freeze</w:t>
            </w:r>
          </w:p>
        </w:tc>
      </w:tr>
      <w:tr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Shutdown</w:t>
            </w:r>
          </w:p>
        </w:tc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“Quiet reset okay.”</w:t>
            </w:r>
          </w:p>
        </w:tc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Calm corner 60 sec</w:t>
            </w:r>
          </w:p>
        </w:tc>
      </w:tr>
    </w:tbl>
    <w:p>
      <w:pPr>
        <w:spacing w:after="40"/>
      </w:pPr>
    </w:p>
    <w:p>
      <w:pPr>
        <w:pStyle w:val="Heading2"/>
      </w:pPr>
      <w:r>
        <w:t>Backup low-prep</w:t>
      </w:r>
    </w:p>
    <w:p>
      <w:r>
        <w:t>Soft toss: catch → say “thanks,” “lamp,” or “Kṛṣṇa.” Three phrase echoes. Optional: pass paper plate; each child “offers” a word of thanks.</w:t>
      </w:r>
    </w:p>
    <w:p>
      <w:pPr>
        <w:pStyle w:val="Heading2"/>
      </w:pPr>
      <w:r>
        <w:t>What success looks like</w:t>
      </w:r>
    </w:p>
    <w:p>
      <w:pPr>
        <w:pStyle w:val="ListBullet"/>
      </w:pPr>
      <w:r>
        <w:t>Child can show Thanks vs Lamp.</w:t>
      </w:r>
    </w:p>
    <w:p>
      <w:pPr>
        <w:pStyle w:val="ListBullet"/>
      </w:pPr>
      <w:r>
        <w:t>Child can echo memory phrase (or halves).</w:t>
      </w:r>
    </w:p>
    <w:p>
      <w:pPr>
        <w:pStyle w:val="ListBullet"/>
      </w:pPr>
      <w:r>
        <w:t>Child does not treat affection as sinful.</w:t>
      </w:r>
    </w:p>
    <w:p>
      <w:pPr>
        <w:pStyle w:val="Heading2"/>
      </w:pPr>
      <w:r>
        <w:t>Boundaries</w:t>
      </w:r>
    </w:p>
    <w:p>
      <w:pPr>
        <w:pStyle w:val="ListBullet"/>
      </w:pPr>
      <w:r>
        <w:t>Snack/water at 3:30; no weekly meal.</w:t>
      </w:r>
    </w:p>
    <w:p>
      <w:pPr>
        <w:pStyle w:val="ListBullet"/>
      </w:pPr>
      <w:r>
        <w:t xml:space="preserve">Primary locked: </w:t>
      </w:r>
      <w:r>
        <w:rPr>
          <w:b/>
        </w:rPr>
        <w:t>BG 8.15</w:t>
      </w:r>
      <w:r>
        <w:t xml:space="preserve"> (not BG 5.22).</w:t>
      </w:r>
    </w:p>
    <w:p>
      <w:pPr>
        <w:pStyle w:val="ListBullet"/>
      </w:pPr>
      <w:r>
        <w:t>No ranking; no forced confession of purchase habits.</w:t>
      </w:r>
    </w:p>
    <w:p>
      <w:pPr>
        <w:pStyle w:val="Heading2"/>
      </w:pPr>
      <w:r>
        <w:t>V13 printable wiring</w:t>
      </w:r>
    </w:p>
    <w:tbl>
      <w:tblPr>
        <w:tblStyle w:val="KUTUMBATable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color="D8C8B2"/>
          <w:left w:val="single" w:sz="6" w:color="D8C8B2"/>
          <w:bottom w:val="single" w:sz="6" w:color="D8C8B2"/>
          <w:right w:val="single" w:sz="6" w:color="D8C8B2"/>
          <w:insideH w:val="single" w:sz="6" w:color="D8C8B2"/>
          <w:insideV w:val="single" w:sz="6" w:color="D8C8B2"/>
        </w:tblBorders>
      </w:tblPr>
      <w:tblGrid>
        <w:gridCol w:w="3312"/>
        <w:gridCol w:w="3312"/>
        <w:gridCol w:w="3312"/>
      </w:tblGrid>
      <w:tr>
        <w:trPr>
          <w:tblHeader w:val="true"/>
        </w:trPr>
        <w:tc>
          <w:tcPr>
            <w:tcW w:type="dxa" w:w="3312"/>
            <w:shd w:fill="5B193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Code</w:t>
            </w:r>
          </w:p>
        </w:tc>
        <w:tc>
          <w:tcPr>
            <w:tcW w:type="dxa" w:w="3312"/>
            <w:shd w:fill="5B193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Activity</w:t>
            </w:r>
          </w:p>
        </w:tc>
        <w:tc>
          <w:tcPr>
            <w:tcW w:type="dxa" w:w="3312"/>
            <w:shd w:fill="5B193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Printable folder</w:t>
            </w:r>
          </w:p>
        </w:tc>
      </w:tr>
      <w:tr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Y01–Y05</w:t>
            </w:r>
          </w:p>
        </w:tc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Temporary / lasting sort (+ supporting crafts/sorts)</w:t>
            </w:r>
          </w:p>
        </w:tc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`activities/v13-younger/`</w:t>
            </w:r>
          </w:p>
        </w:tc>
      </w:tr>
    </w:tbl>
    <w:p>
      <w:pPr>
        <w:spacing w:after="40"/>
      </w:pPr>
    </w:p>
    <w:p>
      <w:r>
        <w:t xml:space="preserve">Use Word builders in </w:t>
      </w:r>
      <w:r>
        <w:rPr>
          <w:rFonts w:ascii="Consolas" w:hAnsi="Consolas"/>
          <w:color w:val="7A263A"/>
          <w:sz w:val="18"/>
        </w:rPr>
        <w:t>scripts/v13/printables/C1-W5.py</w:t>
      </w:r>
      <w:r>
        <w:t xml:space="preserve"> (YOUNGER_BUILDERS). Visuals: </w:t>
      </w:r>
      <w:r>
        <w:rPr>
          <w:rFonts w:ascii="Consolas" w:hAnsi="Consolas"/>
          <w:color w:val="7A263A"/>
          <w:sz w:val="18"/>
        </w:rPr>
        <w:t>visuals/v13/</w:t>
      </w:r>
      <w:r>
        <w:t xml:space="preserve">. Memory phrase: </w:t>
      </w:r>
      <w:r>
        <w:rPr>
          <w:i/>
        </w:rPr>
        <w:t>Temporary joys can be used with gratitude; lasting fulfillment is in Kṛṣṇa.</w:t>
      </w:r>
    </w:p>
    <w:p>
      <w:r>
        <w:br w:type="page"/>
      </w:r>
    </w:p>
    <w:p>
      <w:pPr>
        <w:pStyle w:val="Heading1"/>
      </w:pPr>
      <w:r>
        <w:t>Child House Rules</w:t>
      </w:r>
    </w:p>
    <w:p>
      <w:pPr>
        <w:pStyle w:val="KUTUMBARights"/>
      </w:pPr>
      <w:r>
        <w:t>Canonical source: launch/CHILD-HOUSE-RULES.md  •  SHA-256: 6a525f3dd1da740db86e246622696c7b08e28c1f1475227567d639a5bd54ce47</w:t>
      </w:r>
    </w:p>
    <w:p>
      <w:r>
        <w:t>Parents remain onsite. Facilitators guide the session. Host property rules also apply.</w:t>
      </w:r>
    </w:p>
    <w:p>
      <w:pPr>
        <w:pStyle w:val="Heading2"/>
      </w:pPr>
      <w:r>
        <w:t>Shared rules (all ages)</w:t>
      </w:r>
    </w:p>
    <w:p>
      <w:pPr>
        <w:ind w:left="288"/>
      </w:pPr>
      <w:r>
        <w:t>1. Keep your body safe — feet on the floor; hands gentle.</w:t>
      </w:r>
    </w:p>
    <w:p>
      <w:pPr>
        <w:ind w:left="288"/>
      </w:pPr>
      <w:r>
        <w:t>2. Use respectful speech — no teasing, yelling, or mean labels.</w:t>
      </w:r>
    </w:p>
    <w:p>
      <w:pPr>
        <w:ind w:left="288"/>
      </w:pPr>
      <w:r>
        <w:t>3. Follow the facilitator safety cue immediately (pause / freeze / come here).</w:t>
      </w:r>
    </w:p>
    <w:p>
      <w:pPr>
        <w:ind w:left="288"/>
      </w:pPr>
      <w:r>
        <w:t>4. No jumping on furniture.</w:t>
      </w:r>
    </w:p>
    <w:p>
      <w:pPr>
        <w:ind w:left="288"/>
      </w:pPr>
      <w:r>
        <w:t>5. No indoor throwing.</w:t>
      </w:r>
    </w:p>
    <w:p>
      <w:pPr>
        <w:ind w:left="288"/>
      </w:pPr>
      <w:r>
        <w:t>6. No writing on walls, books, or furniture that are not activity materials.</w:t>
      </w:r>
    </w:p>
    <w:p>
      <w:pPr>
        <w:ind w:left="288"/>
      </w:pPr>
      <w:r>
        <w:t>7. Ask before entering private rooms.</w:t>
      </w:r>
    </w:p>
    <w:p>
      <w:pPr>
        <w:ind w:left="288"/>
      </w:pPr>
      <w:r>
        <w:t>8. Respect belongings — ask before touching what is not yours.</w:t>
      </w:r>
    </w:p>
    <w:p>
      <w:pPr>
        <w:ind w:left="288"/>
      </w:pPr>
      <w:r>
        <w:t>9. Devices away unless the lesson specifically needs them.</w:t>
      </w:r>
    </w:p>
    <w:p>
      <w:pPr>
        <w:ind w:left="288"/>
      </w:pPr>
      <w:r>
        <w:t>10. Snack only in the allowed area; water anytime with permission.</w:t>
      </w:r>
    </w:p>
    <w:p>
      <w:pPr>
        <w:ind w:left="288"/>
      </w:pPr>
      <w:r>
        <w:t>11. Help clean up before leaving.</w:t>
      </w:r>
    </w:p>
    <w:p>
      <w:pPr>
        <w:pStyle w:val="Heading2"/>
      </w:pPr>
      <w:r>
        <w:t>Correction ladder (no public shame)</w:t>
      </w:r>
    </w:p>
    <w:p>
      <w:pPr>
        <w:ind w:left="288"/>
      </w:pPr>
      <w:r>
        <w:t xml:space="preserve">1. Calm reminder  </w:t>
      </w:r>
    </w:p>
    <w:p>
      <w:pPr>
        <w:ind w:left="288"/>
      </w:pPr>
      <w:r>
        <w:t xml:space="preserve">2. Redirect / offer a choice  </w:t>
      </w:r>
    </w:p>
    <w:p>
      <w:pPr>
        <w:ind w:left="288"/>
      </w:pPr>
      <w:r>
        <w:t xml:space="preserve">3. Brief quiet reset in a visible space  </w:t>
      </w:r>
    </w:p>
    <w:p>
      <w:pPr>
        <w:ind w:left="288"/>
      </w:pPr>
      <w:r>
        <w:t xml:space="preserve">4. Parent involvement  </w:t>
      </w:r>
    </w:p>
    <w:p>
      <w:pPr>
        <w:ind w:left="288"/>
      </w:pPr>
      <w:r>
        <w:t xml:space="preserve">5. Sit out a specific activity  </w:t>
      </w:r>
    </w:p>
    <w:p>
      <w:pPr>
        <w:ind w:left="288"/>
      </w:pPr>
      <w:r>
        <w:t xml:space="preserve">6. Private parent/program conversation for repeated patterns  </w:t>
      </w:r>
    </w:p>
    <w:p>
      <w:r>
        <w:rPr>
          <w:b/>
        </w:rPr>
        <w:t>Never:</w:t>
      </w:r>
      <w:r>
        <w:t xml:space="preserve"> public shame, yelling, sarcasm, corporal punishment, forced chanting, or comparing children.</w:t>
      </w:r>
    </w:p>
    <w:p>
      <w:pPr>
        <w:pStyle w:val="Heading2"/>
      </w:pPr>
      <w:r>
        <w:t>Younger (K–2) emphasis</w:t>
      </w:r>
    </w:p>
    <w:p>
      <w:pPr>
        <w:pStyle w:val="ListBullet"/>
      </w:pPr>
      <w:r>
        <w:t>Soft voices indoors</w:t>
      </w:r>
    </w:p>
    <w:p>
      <w:pPr>
        <w:pStyle w:val="ListBullet"/>
      </w:pPr>
      <w:r>
        <w:t>Stay with the group</w:t>
      </w:r>
    </w:p>
    <w:p>
      <w:pPr>
        <w:pStyle w:val="ListBullet"/>
      </w:pPr>
      <w:r>
        <w:t>Hands to yourself</w:t>
      </w:r>
    </w:p>
    <w:p>
      <w:pPr>
        <w:pStyle w:val="ListBullet"/>
      </w:pPr>
      <w:r>
        <w:t>Ask before leaving the room</w:t>
      </w:r>
    </w:p>
    <w:p>
      <w:pPr>
        <w:pStyle w:val="Heading2"/>
      </w:pPr>
      <w:r>
        <w:t>Older (Grades 4–5) emphasis</w:t>
      </w:r>
    </w:p>
    <w:p>
      <w:pPr>
        <w:pStyle w:val="ListBullet"/>
      </w:pPr>
      <w:r>
        <w:t>Model respectful speech for younger children</w:t>
      </w:r>
    </w:p>
    <w:p>
      <w:pPr>
        <w:pStyle w:val="ListBullet"/>
      </w:pPr>
      <w:r>
        <w:t>Devices fully away unless assigned</w:t>
      </w:r>
    </w:p>
    <w:p>
      <w:pPr>
        <w:pStyle w:val="ListBullet"/>
      </w:pPr>
      <w:r>
        <w:t>Help clean-up leadership</w:t>
      </w:r>
    </w:p>
    <w:p>
      <w:pPr>
        <w:pStyle w:val="ListBullet"/>
      </w:pPr>
      <w:r>
        <w:t>Honest questions welcome; speculation wait for source check</w:t>
      </w:r>
    </w:p>
    <w:p>
      <w:r>
        <w:t xml:space="preserve">Printable versions: W1 launch-pack </w:t>
      </w:r>
      <w:r>
        <w:rPr>
          <w:rFonts w:ascii="Consolas" w:hAnsi="Consolas"/>
          <w:color w:val="7A263A"/>
          <w:sz w:val="18"/>
        </w:rPr>
        <w:t>CHILD-RULES-YOUNGER.md</w:t>
      </w:r>
      <w:r>
        <w:t xml:space="preserve"> and </w:t>
      </w:r>
      <w:r>
        <w:rPr>
          <w:rFonts w:ascii="Consolas" w:hAnsi="Consolas"/>
          <w:color w:val="7A263A"/>
          <w:sz w:val="18"/>
        </w:rPr>
        <w:t>CHILD-RULES-OLDER.md</w:t>
      </w:r>
      <w:r>
        <w:t>.</w:t>
      </w:r>
    </w:p>
    <w:p>
      <w:r>
        <w:br w:type="page"/>
      </w:r>
    </w:p>
    <w:p>
      <w:pPr>
        <w:pStyle w:val="Heading1"/>
      </w:pPr>
      <w:r>
        <w:t>Y01 — Temporary / Lasting Sort</w:t>
      </w:r>
    </w:p>
    <w:p>
      <w:pPr>
        <w:jc w:val="center"/>
      </w:pPr>
      <w:r>
        <w:t>Enjoy with thanks — do not shame.</w:t>
      </w:r>
    </w:p>
    <w:p>
      <w:r>
        <w:drawing>
          <wp:inline xmlns:a="http://schemas.openxmlformats.org/drawingml/2006/main" xmlns:pic="http://schemas.openxmlformats.org/drawingml/2006/picture">
            <wp:extent cx="4572000" cy="2794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porary-lasting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794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9" w:color="4F7C78"/>
          <w:left w:val="single" w:sz="9" w:color="4F7C78"/>
          <w:bottom w:val="single" w:sz="9" w:color="4F7C78"/>
          <w:right w:val="single" w:sz="9" w:color="4F7C78"/>
          <w:insideH w:val="single" w:sz="9" w:color="4F7C78"/>
          <w:insideV w:val="single" w:sz="9" w:color="4F7C78"/>
        </w:tblBorders>
      </w:tblPr>
      <w:tblGrid>
        <w:gridCol w:w="4968"/>
        <w:gridCol w:w="4968"/>
      </w:tblGrid>
      <w:tr>
        <w:tc>
          <w:tcPr>
            <w:tcW w:type="dxa" w:w="4752"/>
            <w:vAlign w:val="center"/>
          </w:tcPr>
          <w:p>
            <w:pPr>
              <w:spacing w:before="280" w:after="280"/>
              <w:jc w:val="center"/>
            </w:pPr>
            <w:r>
              <w:rPr>
                <w:b/>
                <w:color w:val="5B1933"/>
              </w:rPr>
              <w:t>CARD 1</w:t>
              <w:br/>
            </w:r>
            <w:r>
              <w:rPr>
                <w:sz w:val="26"/>
              </w:rPr>
              <w:t>TEMP: New toy fun</w:t>
            </w:r>
          </w:p>
        </w:tc>
        <w:tc>
          <w:tcPr>
            <w:tcW w:type="dxa" w:w="4752"/>
            <w:vAlign w:val="center"/>
          </w:tcPr>
          <w:p>
            <w:pPr>
              <w:spacing w:before="280" w:after="280"/>
              <w:jc w:val="center"/>
            </w:pPr>
            <w:r>
              <w:rPr>
                <w:b/>
                <w:color w:val="5B1933"/>
              </w:rPr>
              <w:t>CARD 2</w:t>
              <w:br/>
            </w:r>
            <w:r>
              <w:rPr>
                <w:sz w:val="26"/>
              </w:rPr>
              <w:t>TEMP: Snack joy</w:t>
            </w:r>
          </w:p>
        </w:tc>
      </w:tr>
      <w:tr>
        <w:tc>
          <w:tcPr>
            <w:tcW w:type="dxa" w:w="4752"/>
            <w:vAlign w:val="center"/>
          </w:tcPr>
          <w:p>
            <w:pPr>
              <w:spacing w:before="280" w:after="280"/>
              <w:jc w:val="center"/>
            </w:pPr>
            <w:r>
              <w:rPr>
                <w:b/>
                <w:color w:val="5B1933"/>
              </w:rPr>
              <w:t>CARD 3</w:t>
              <w:br/>
            </w:r>
            <w:r>
              <w:rPr>
                <w:sz w:val="26"/>
              </w:rPr>
              <w:t>TEMP: Screen episode</w:t>
            </w:r>
          </w:p>
        </w:tc>
        <w:tc>
          <w:tcPr>
            <w:tcW w:type="dxa" w:w="4752"/>
            <w:vAlign w:val="center"/>
          </w:tcPr>
          <w:p>
            <w:pPr>
              <w:spacing w:before="280" w:after="280"/>
              <w:jc w:val="center"/>
            </w:pPr>
            <w:r>
              <w:rPr>
                <w:b/>
                <w:color w:val="5B1933"/>
              </w:rPr>
              <w:t>CARD 4</w:t>
              <w:br/>
            </w:r>
            <w:r>
              <w:rPr>
                <w:sz w:val="26"/>
              </w:rPr>
              <w:t>LASTING: Thank You Kṛṣṇa</w:t>
            </w:r>
          </w:p>
        </w:tc>
      </w:tr>
      <w:tr>
        <w:tc>
          <w:tcPr>
            <w:tcW w:type="dxa" w:w="4752"/>
            <w:vAlign w:val="center"/>
          </w:tcPr>
          <w:p>
            <w:pPr>
              <w:spacing w:before="280" w:after="280"/>
              <w:jc w:val="center"/>
            </w:pPr>
            <w:r>
              <w:rPr>
                <w:b/>
                <w:color w:val="5B1933"/>
              </w:rPr>
              <w:t>CARD 5</w:t>
              <w:br/>
            </w:r>
            <w:r>
              <w:rPr>
                <w:sz w:val="26"/>
              </w:rPr>
              <w:t>LASTING: Help someone</w:t>
            </w:r>
          </w:p>
        </w:tc>
        <w:tc>
          <w:tcPr>
            <w:tcW w:type="dxa" w:w="4752"/>
            <w:vAlign w:val="center"/>
          </w:tcPr>
          <w:p>
            <w:pPr>
              <w:spacing w:before="280" w:after="280"/>
              <w:jc w:val="center"/>
            </w:pPr>
            <w:r>
              <w:rPr>
                <w:b/>
                <w:color w:val="5B1933"/>
              </w:rPr>
              <w:t>CARD 6</w:t>
              <w:br/>
            </w:r>
            <w:r>
              <w:rPr>
                <w:sz w:val="26"/>
              </w:rPr>
              <w:t>LASTING: Holy name / prayer</w:t>
            </w:r>
          </w:p>
        </w:tc>
      </w:tr>
    </w:tbl>
    <w:p>
      <w:pPr>
        <w:pStyle w:val="Heading2"/>
      </w:pPr>
      <w:r>
        <w:t>Memory phrase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10" w:color="E59B24"/>
          <w:left w:val="single" w:sz="10" w:color="E59B24"/>
          <w:bottom w:val="single" w:sz="10" w:color="E59B24"/>
          <w:right w:val="single" w:sz="10" w:color="E59B24"/>
          <w:insideH w:val="single" w:sz="10" w:color="E59B24"/>
          <w:insideV w:val="single" w:sz="10" w:color="E59B24"/>
        </w:tblBorders>
      </w:tblPr>
      <w:tblGrid>
        <w:gridCol w:w="9936"/>
      </w:tblGrid>
      <w:tr>
        <w:tc>
          <w:tcPr>
            <w:tcW w:type="dxa" w:w="9936"/>
            <w:shd w:fill="FFF8E8"/>
          </w:tcPr>
          <w:p>
            <w:pPr>
              <w:spacing w:before="240" w:after="240"/>
              <w:jc w:val="center"/>
            </w:pPr>
            <w:r>
              <w:rPr>
                <w:b/>
                <w:color w:val="5B1933"/>
                <w:sz w:val="36"/>
              </w:rPr>
              <w:t>Temporary joys can be used with gratitude; lasting fulfillment is in Kṛṣṇa.</w:t>
            </w:r>
          </w:p>
        </w:tc>
      </w:tr>
    </w:tbl>
    <w:p>
      <w:pPr>
        <w:jc w:val="center"/>
      </w:pPr>
      <w:r>
        <w:rPr>
          <w:i/>
          <w:color w:val="4F7C78"/>
          <w:sz w:val="22"/>
        </w:rPr>
        <w:t>Cut on the dashed borders. Keep each card intact.</w:t>
      </w:r>
    </w:p>
    <w:p>
      <w:r>
        <w:br w:type="page"/>
      </w:r>
    </w:p>
    <w:p>
      <w:pPr>
        <w:pStyle w:val="Heading1"/>
      </w:pPr>
      <w:r>
        <w:t>Y02 — Sparkler and Lamp Match</w:t>
      </w:r>
    </w:p>
    <w:p>
      <w:pPr>
        <w:jc w:val="center"/>
      </w:pPr>
      <w:r>
        <w:t>Enjoy sparkler; remember lamp.</w:t>
      </w:r>
    </w:p>
    <w:p>
      <w:r>
        <w:drawing>
          <wp:inline xmlns:a="http://schemas.openxmlformats.org/drawingml/2006/main" xmlns:pic="http://schemas.openxmlformats.org/drawingml/2006/picture">
            <wp:extent cx="4572000" cy="28575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parkler-lamp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8575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4F7C78"/>
          <w:left w:val="single" w:sz="8" w:color="4F7C78"/>
          <w:bottom w:val="single" w:sz="8" w:color="4F7C78"/>
          <w:right w:val="single" w:sz="8" w:color="4F7C78"/>
          <w:insideH w:val="single" w:sz="8" w:color="4F7C78"/>
          <w:insideV w:val="single" w:sz="8" w:color="4F7C78"/>
        </w:tblBorders>
      </w:tblPr>
      <w:tblGrid>
        <w:gridCol w:w="1944"/>
        <w:gridCol w:w="8136"/>
      </w:tblGrid>
      <w:tr>
        <w:tc>
          <w:tcPr>
            <w:tcW w:type="dxa" w:w="4968"/>
            <w:shd w:fill="4F7C78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Label"/>
              <w:jc w:val="center"/>
            </w:pPr>
            <w:r>
              <w:t>TEACHER NOTE</w:t>
            </w:r>
          </w:p>
        </w:tc>
        <w:tc>
          <w:tcPr>
            <w:tcW w:type="dxa" w:w="4968"/>
            <w:shd w:fill="E4F0ED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Body"/>
            </w:pPr>
            <w:r>
              <w:t>Toys are not worthless. Temporary joys need gratitude.</w:t>
            </w:r>
          </w:p>
        </w:tc>
      </w:tr>
    </w:tbl>
    <w:p>
      <w:pPr>
        <w:spacing w:after="20"/>
      </w:pPr>
    </w:p>
    <w:p>
      <w:pPr>
        <w:jc w:val="center"/>
      </w:pPr>
      <w:r>
        <w:rPr>
          <w:i/>
          <w:color w:val="4F7C78"/>
          <w:sz w:val="22"/>
        </w:rPr>
        <w:t>Cut on the dashed borders. Keep each card intact.</w:t>
      </w:r>
    </w:p>
    <w:p>
      <w:r>
        <w:br w:type="page"/>
      </w:r>
    </w:p>
    <w:p>
      <w:pPr>
        <w:pStyle w:val="Heading1"/>
      </w:pPr>
      <w:r>
        <w:t>Y03 — Gratitude Offering Craft</w:t>
      </w:r>
    </w:p>
    <w:p>
      <w:pPr>
        <w:jc w:val="center"/>
      </w:pPr>
      <w:r>
        <w:t>Draw a joy + Thank You, Kṛṣṇa.</w:t>
      </w:r>
    </w:p>
    <w:p>
      <w:r>
        <w:drawing>
          <wp:inline xmlns:a="http://schemas.openxmlformats.org/drawingml/2006/main" xmlns:pic="http://schemas.openxmlformats.org/drawingml/2006/picture">
            <wp:extent cx="3657600" cy="235131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atitude-card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351314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7" w:color="4F7C78"/>
          <w:left w:val="single" w:sz="7" w:color="4F7C78"/>
          <w:bottom w:val="single" w:sz="7" w:color="4F7C78"/>
          <w:right w:val="single" w:sz="7" w:color="4F7C78"/>
          <w:insideH w:val="single" w:sz="7" w:color="4F7C78"/>
          <w:insideV w:val="single" w:sz="7" w:color="4F7C78"/>
        </w:tblBorders>
      </w:tblPr>
      <w:tblGrid>
        <w:gridCol w:w="9936"/>
      </w:tblGrid>
      <w:tr>
        <w:tc>
          <w:tcPr>
            <w:tcW w:type="dxa" w:w="9936"/>
          </w:tcPr>
          <w:p>
            <w:r>
              <w:rPr>
                <w:b/>
              </w:rPr>
              <w:t>Temporary joy I enjoyed:</w:t>
            </w:r>
          </w:p>
          <w:p>
            <w:r>
              <w:t>________________________________________________________________</w:t>
            </w:r>
          </w:p>
        </w:tc>
      </w:tr>
      <w:tr>
        <w:tc>
          <w:tcPr>
            <w:tcW w:type="dxa" w:w="9936"/>
          </w:tcPr>
          <w:p>
            <w:r>
              <w:rPr>
                <w:b/>
              </w:rPr>
              <w:t>Thank You line:</w:t>
            </w:r>
          </w:p>
          <w:p>
            <w:r>
              <w:t>________________________________________________________________</w:t>
            </w:r>
          </w:p>
        </w:tc>
      </w:tr>
    </w:tbl>
    <w:p>
      <w:pPr>
        <w:pStyle w:val="Heading2"/>
      </w:pPr>
      <w:r>
        <w:t>Memory phrase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10" w:color="E59B24"/>
          <w:left w:val="single" w:sz="10" w:color="E59B24"/>
          <w:bottom w:val="single" w:sz="10" w:color="E59B24"/>
          <w:right w:val="single" w:sz="10" w:color="E59B24"/>
          <w:insideH w:val="single" w:sz="10" w:color="E59B24"/>
          <w:insideV w:val="single" w:sz="10" w:color="E59B24"/>
        </w:tblBorders>
      </w:tblPr>
      <w:tblGrid>
        <w:gridCol w:w="9936"/>
      </w:tblGrid>
      <w:tr>
        <w:tc>
          <w:tcPr>
            <w:tcW w:type="dxa" w:w="9936"/>
            <w:shd w:fill="FFF8E8"/>
          </w:tcPr>
          <w:p>
            <w:pPr>
              <w:spacing w:before="240" w:after="240"/>
              <w:jc w:val="center"/>
            </w:pPr>
            <w:r>
              <w:rPr>
                <w:b/>
                <w:color w:val="5B1933"/>
                <w:sz w:val="36"/>
              </w:rPr>
              <w:t>Temporary joys can be used with gratitude; lasting fulfillment is in Kṛṣṇa.</w:t>
            </w:r>
          </w:p>
        </w:tc>
      </w:tr>
    </w:tbl>
    <w:p>
      <w:r>
        <w:br w:type="page"/>
      </w:r>
    </w:p>
    <w:p>
      <w:pPr>
        <w:pStyle w:val="Heading1"/>
      </w:pPr>
      <w:r>
        <w:t>Y04 — Kind Enjoyment Speech</w:t>
      </w:r>
    </w:p>
    <w:p>
      <w:pPr>
        <w:jc w:val="center"/>
      </w:pPr>
      <w:r>
        <w:t>GRATITUDE vs SHAME.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9" w:color="4F7C78"/>
          <w:left w:val="single" w:sz="9" w:color="4F7C78"/>
          <w:bottom w:val="single" w:sz="9" w:color="4F7C78"/>
          <w:right w:val="single" w:sz="9" w:color="4F7C78"/>
          <w:insideH w:val="single" w:sz="9" w:color="4F7C78"/>
          <w:insideV w:val="single" w:sz="9" w:color="4F7C78"/>
        </w:tblBorders>
      </w:tblPr>
      <w:tblGrid>
        <w:gridCol w:w="4968"/>
        <w:gridCol w:w="4968"/>
      </w:tblGrid>
      <w:tr>
        <w:tc>
          <w:tcPr>
            <w:tcW w:type="dxa" w:w="4752"/>
            <w:vAlign w:val="center"/>
          </w:tcPr>
          <w:p>
            <w:pPr>
              <w:spacing w:before="280" w:after="280"/>
              <w:jc w:val="center"/>
            </w:pPr>
            <w:r>
              <w:rPr>
                <w:b/>
                <w:color w:val="5B1933"/>
              </w:rPr>
              <w:t>CARD 1</w:t>
              <w:br/>
            </w:r>
            <w:r>
              <w:rPr>
                <w:sz w:val="26"/>
              </w:rPr>
              <w:t>GRATITUDE: Thank you for this fun.</w:t>
            </w:r>
          </w:p>
        </w:tc>
        <w:tc>
          <w:tcPr>
            <w:tcW w:type="dxa" w:w="4752"/>
            <w:vAlign w:val="center"/>
          </w:tcPr>
          <w:p>
            <w:pPr>
              <w:spacing w:before="280" w:after="280"/>
              <w:jc w:val="center"/>
            </w:pPr>
            <w:r>
              <w:rPr>
                <w:b/>
                <w:color w:val="5B1933"/>
              </w:rPr>
              <w:t>CARD 2</w:t>
              <w:br/>
            </w:r>
            <w:r>
              <w:rPr>
                <w:sz w:val="26"/>
              </w:rPr>
              <w:t>GRATITUDE: Let's offer a short prayer after play.</w:t>
            </w:r>
          </w:p>
        </w:tc>
      </w:tr>
      <w:tr>
        <w:tc>
          <w:tcPr>
            <w:tcW w:type="dxa" w:w="4752"/>
            <w:vAlign w:val="center"/>
          </w:tcPr>
          <w:p>
            <w:pPr>
              <w:spacing w:before="280" w:after="280"/>
              <w:jc w:val="center"/>
            </w:pPr>
            <w:r>
              <w:rPr>
                <w:b/>
                <w:color w:val="5B1933"/>
              </w:rPr>
              <w:t>CARD 3</w:t>
              <w:br/>
            </w:r>
            <w:r>
              <w:rPr>
                <w:sz w:val="26"/>
              </w:rPr>
              <w:t>GRATITUDE: Toys can be enjoyed with care.</w:t>
            </w:r>
          </w:p>
        </w:tc>
        <w:tc>
          <w:tcPr>
            <w:tcW w:type="dxa" w:w="4752"/>
            <w:vAlign w:val="center"/>
          </w:tcPr>
          <w:p>
            <w:pPr>
              <w:spacing w:before="280" w:after="280"/>
              <w:jc w:val="center"/>
            </w:pPr>
            <w:r>
              <w:rPr>
                <w:b/>
                <w:color w:val="5B1933"/>
              </w:rPr>
              <w:t>CARD 4</w:t>
              <w:br/>
            </w:r>
            <w:r>
              <w:rPr>
                <w:sz w:val="26"/>
              </w:rPr>
              <w:t>SHAME: Your toy is māyā — you are bad.</w:t>
            </w:r>
          </w:p>
        </w:tc>
      </w:tr>
      <w:tr>
        <w:tc>
          <w:tcPr>
            <w:tcW w:type="dxa" w:w="4752"/>
            <w:vAlign w:val="center"/>
          </w:tcPr>
          <w:p>
            <w:pPr>
              <w:spacing w:before="280" w:after="280"/>
              <w:jc w:val="center"/>
            </w:pPr>
            <w:r>
              <w:rPr>
                <w:b/>
                <w:color w:val="5B1933"/>
              </w:rPr>
              <w:t>CARD 5</w:t>
              <w:br/>
            </w:r>
            <w:r>
              <w:rPr>
                <w:sz w:val="26"/>
              </w:rPr>
              <w:t>SHAME: Real devotees never enjoy anything.</w:t>
            </w:r>
          </w:p>
        </w:tc>
        <w:tc>
          <w:tcPr>
            <w:tcW w:type="dxa" w:w="4752"/>
            <w:vAlign w:val="center"/>
          </w:tcPr>
          <w:p>
            <w:pPr>
              <w:spacing w:before="280" w:after="280"/>
              <w:jc w:val="center"/>
            </w:pPr>
            <w:r>
              <w:rPr>
                <w:b/>
                <w:color w:val="5B1933"/>
              </w:rPr>
              <w:t>CARD 6</w:t>
              <w:br/>
            </w:r>
            <w:r>
              <w:rPr>
                <w:sz w:val="26"/>
              </w:rPr>
              <w:t>SHAME: Family hugs are worthless.</w:t>
            </w:r>
          </w:p>
        </w:tc>
      </w:tr>
    </w:tbl>
    <w:p>
      <w:pPr>
        <w:jc w:val="center"/>
      </w:pPr>
      <w:r>
        <w:rPr>
          <w:i/>
          <w:color w:val="4F7C78"/>
          <w:sz w:val="22"/>
        </w:rPr>
        <w:t>Cut on the dashed borders. Keep each card intact.</w:t>
      </w:r>
    </w:p>
    <w:p>
      <w:r>
        <w:br w:type="page"/>
      </w:r>
    </w:p>
    <w:p>
      <w:pPr>
        <w:pStyle w:val="Heading1"/>
      </w:pPr>
      <w:r>
        <w:t>Y05 — Memory Phrase Mat</w:t>
      </w:r>
    </w:p>
    <w:p>
      <w:pPr>
        <w:jc w:val="center"/>
      </w:pPr>
      <w:r>
        <w:t>Landing mat.</w:t>
      </w:r>
    </w:p>
    <w:p>
      <w:r>
        <w:drawing>
          <wp:inline xmlns:a="http://schemas.openxmlformats.org/drawingml/2006/main" xmlns:pic="http://schemas.openxmlformats.org/drawingml/2006/picture">
            <wp:extent cx="4572000" cy="313508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mory-mat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1350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Memory phrase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10" w:color="E59B24"/>
          <w:left w:val="single" w:sz="10" w:color="E59B24"/>
          <w:bottom w:val="single" w:sz="10" w:color="E59B24"/>
          <w:right w:val="single" w:sz="10" w:color="E59B24"/>
          <w:insideH w:val="single" w:sz="10" w:color="E59B24"/>
          <w:insideV w:val="single" w:sz="10" w:color="E59B24"/>
        </w:tblBorders>
      </w:tblPr>
      <w:tblGrid>
        <w:gridCol w:w="9936"/>
      </w:tblGrid>
      <w:tr>
        <w:tc>
          <w:tcPr>
            <w:tcW w:type="dxa" w:w="9936"/>
            <w:shd w:fill="FFF8E8"/>
          </w:tcPr>
          <w:p>
            <w:pPr>
              <w:spacing w:before="240" w:after="240"/>
              <w:jc w:val="center"/>
            </w:pPr>
            <w:r>
              <w:rPr>
                <w:b/>
                <w:color w:val="5B1933"/>
                <w:sz w:val="36"/>
              </w:rPr>
              <w:t>Temporary joys can be used with gratitude; lasting fulfillment is in Kṛṣṇa.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2E3033"/>
          <w:left w:val="single" w:sz="8" w:color="2E3033"/>
          <w:bottom w:val="single" w:sz="8" w:color="2E3033"/>
          <w:right w:val="single" w:sz="8" w:color="2E3033"/>
          <w:insideH w:val="single" w:sz="8" w:color="2E3033"/>
          <w:insideV w:val="single" w:sz="8" w:color="2E3033"/>
        </w:tblBorders>
      </w:tblPr>
      <w:tblGrid>
        <w:gridCol w:w="1944"/>
        <w:gridCol w:w="8136"/>
      </w:tblGrid>
      <w:tr>
        <w:tc>
          <w:tcPr>
            <w:tcW w:type="dxa" w:w="4968"/>
            <w:shd w:fill="2E3033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Label"/>
              <w:jc w:val="center"/>
            </w:pPr>
            <w:r>
              <w:t>RIGHTS NOTE</w:t>
            </w:r>
          </w:p>
        </w:tc>
        <w:tc>
          <w:tcPr>
            <w:tcW w:type="dxa" w:w="4968"/>
            <w:shd w:fill="EFF0F1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Body"/>
            </w:pPr>
            <w:r>
              <w:t>KUTUMBA-original framing; cited third-party material retains its own rights. Human/temple review remains EXTERNAL_OPEN.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152" w:bottom="1037" w:left="1152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Segoe UI" w:hAnsi="Segoe UI" w:eastAsia="Segoe UI" w:cs="Segoe UI"/>
        <w:b/>
        <w:color w:val="5B1933"/>
        <w:sz w:val="15"/>
      </w:rPr>
      <w:t xml:space="preserve">KUTUMBA • Families Growing in Krishna Consciousness  |  </w:t>
    </w:r>
    <w:r>
      <w:rPr>
        <w:rFonts w:ascii="Segoe UI" w:hAnsi="Segoe UI" w:eastAsia="Segoe UI" w:cs="Segoe UI"/>
        <w:color w:val="2E3033"/>
        <w:sz w:val="15"/>
      </w:rPr>
      <w:t xml:space="preserve">KUTUMBA-original framing; cited third-party material retains its own rights.  |  Page </w:t>
    </w:r>
    <w:r>
      <w:rPr>
        <w:rFonts w:ascii="Segoe UI" w:hAnsi="Segoe UI" w:eastAsia="Segoe UI" w:cs="Segoe UI"/>
        <w:sz w:val="15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Segoe UI" w:hAnsi="Segoe UI" w:eastAsia="Segoe UI" w:cs="Segoe UI"/>
        <w:sz w:val="15"/>
      </w:rPr>
      <w:t xml:space="preserve"> of </w:t>
    </w:r>
    <w:r>
      <w:rPr>
        <w:rFonts w:ascii="Segoe UI" w:hAnsi="Segoe UI" w:eastAsia="Segoe UI" w:cs="Segoe UI"/>
        <w:sz w:val="15"/>
      </w:rPr>
      <w:fldChar w:fldCharType="begin"/>
      <w:instrText xml:space="preserve">NUMPAGES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8" w:space="4" w:color="E59B24"/>
      </w:pBdr>
    </w:pPr>
    <w:r>
      <w:rPr>
        <w:rFonts w:ascii="Segoe UI" w:hAnsi="Segoe UI" w:eastAsia="Segoe UI" w:cs="Segoe UI"/>
        <w:b/>
        <w:color w:val="5B1933"/>
        <w:sz w:val="17"/>
      </w:rPr>
      <w:t xml:space="preserve">KUTUMBA  •  </w:t>
    </w:r>
    <w:r>
      <w:rPr>
        <w:rFonts w:ascii="Segoe UI" w:hAnsi="Segoe UI" w:eastAsia="Segoe UI" w:cs="Segoe UI"/>
        <w:color w:val="4F7C78"/>
        <w:sz w:val="17"/>
      </w:rPr>
      <w:t>C1-W5 • V13  |  Younger teacher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displayBackgroundShape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259" w:lineRule="auto"/>
    </w:pPr>
    <w:rPr>
      <w:rFonts w:ascii="Segoe UI" w:hAnsi="Segoe UI" w:eastAsia="Segoe UI" w:cs="Segoe UI"/>
      <w:b w:val="0"/>
      <w:color w:val="2E30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40"/>
      <w:outlineLvl w:val="0"/>
    </w:pPr>
    <w:rPr>
      <w:rFonts w:asciiTheme="majorHAnsi" w:eastAsiaTheme="majorEastAsia" w:hAnsiTheme="majorHAnsi" w:cstheme="majorBidi" w:ascii="Cambria" w:hAnsi="Cambria" w:eastAsia="Cambria" w:cs="Cambria"/>
      <w:b/>
      <w:bCs/>
      <w:color w:val="5B1933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Cambria" w:hAnsi="Cambria" w:eastAsia="Cambria" w:cs="Cambria"/>
      <w:b/>
      <w:bCs/>
      <w:color w:val="7A263A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Cambria" w:hAnsi="Cambria" w:eastAsia="Cambria" w:cs="Cambria"/>
      <w:b/>
      <w:bCs/>
      <w:color w:val="4F7C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40" w:after="60"/>
      <w:outlineLvl w:val="3"/>
    </w:pPr>
    <w:rPr>
      <w:rFonts w:asciiTheme="majorHAnsi" w:eastAsiaTheme="majorEastAsia" w:hAnsiTheme="majorHAnsi" w:cstheme="majorBidi" w:ascii="Cambria" w:hAnsi="Cambria" w:eastAsia="Cambria" w:cs="Cambria"/>
      <w:b/>
      <w:bCs/>
      <w:i/>
      <w:iCs/>
      <w:color w:val="5B1933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00" w:line="240" w:lineRule="auto"/>
      <w:contextualSpacing/>
    </w:pPr>
    <w:rPr>
      <w:rFonts w:asciiTheme="majorHAnsi" w:eastAsiaTheme="majorEastAsia" w:hAnsiTheme="majorHAnsi" w:cstheme="majorBidi" w:ascii="Cambria" w:hAnsi="Cambria" w:eastAsia="Cambria" w:cs="Cambria"/>
      <w:b/>
      <w:color w:val="5B1933"/>
      <w:spacing w:val="5"/>
      <w:kern w:val="28"/>
      <w:sz w:val="6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60"/>
    </w:pPr>
    <w:rPr>
      <w:rFonts w:asciiTheme="majorHAnsi" w:eastAsiaTheme="majorEastAsia" w:hAnsiTheme="majorHAnsi" w:cstheme="majorBidi" w:ascii="Segoe UI" w:hAnsi="Segoe UI" w:eastAsia="Segoe UI" w:cs="Segoe UI"/>
      <w:b w:val="0"/>
      <w:i/>
      <w:iCs/>
      <w:color w:val="4F7C78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contextualSpacing/>
    </w:pPr>
    <w:rPr>
      <w:rFonts w:ascii="Calibri" w:hAnsi="Calibri" w:eastAsia="Calibri" w:cs="Calibri"/>
      <w:b w:val="0"/>
      <w:color w:val="2E3033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60"/>
      <w:contextualSpacing/>
    </w:pPr>
    <w:rPr>
      <w:rFonts w:ascii="Calibri" w:hAnsi="Calibri" w:eastAsia="Calibri" w:cs="Calibri"/>
      <w:b w:val="0"/>
      <w:color w:val="2E3033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contextualSpacing/>
    </w:pPr>
    <w:rPr>
      <w:rFonts w:ascii="Calibri" w:hAnsi="Calibri" w:eastAsia="Calibri" w:cs="Calibri"/>
      <w:b w:val="0"/>
      <w:color w:val="2E3033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spacing w:after="60"/>
      <w:contextualSpacing/>
    </w:pPr>
    <w:rPr>
      <w:rFonts w:ascii="Calibri" w:hAnsi="Calibri" w:eastAsia="Calibri" w:cs="Calibri"/>
      <w:b w:val="0"/>
      <w:color w:val="2E3033"/>
      <w:sz w:val="21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spacing w:before="100" w:after="140"/>
      <w:ind w:left="360" w:right="216"/>
    </w:pPr>
    <w:rPr>
      <w:rFonts w:ascii="Cambria" w:hAnsi="Cambria" w:eastAsia="Cambria" w:cs="Cambria"/>
      <w:b w:val="0"/>
      <w:i/>
      <w:iCs/>
      <w:color w:val="5B1933"/>
      <w:sz w:val="2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Segoe UI" w:hAnsi="Segoe UI" w:eastAsia="Segoe UI" w:cs="Segoe UI"/>
      <w:b/>
      <w:bCs/>
      <w:color w:val="4F7C78"/>
      <w:sz w:val="17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KUTUMBAEyebrow">
    <w:name w:val="KUTUMBA Eyebrow"/>
    <w:pPr>
      <w:spacing w:after="80"/>
    </w:pPr>
    <w:rPr>
      <w:rFonts w:ascii="Segoe UI" w:hAnsi="Segoe UI" w:eastAsia="Segoe UI" w:cs="Segoe UI"/>
      <w:b/>
      <w:color w:val="E59B24"/>
      <w:sz w:val="18"/>
    </w:rPr>
  </w:style>
  <w:style w:type="paragraph" w:customStyle="1" w:styleId="KUTUMBAMeta">
    <w:name w:val="KUTUMBA Meta"/>
    <w:pPr>
      <w:spacing w:after="80"/>
    </w:pPr>
    <w:rPr>
      <w:rFonts w:ascii="Segoe UI" w:hAnsi="Segoe UI" w:eastAsia="Segoe UI" w:cs="Segoe UI"/>
      <w:b w:val="0"/>
      <w:color w:val="4F7C78"/>
      <w:sz w:val="18"/>
    </w:rPr>
  </w:style>
  <w:style w:type="paragraph" w:customStyle="1" w:styleId="KUTUMBACalloutLabel">
    <w:name w:val="KUTUMBA Callout Label"/>
    <w:pPr>
      <w:spacing w:after="80"/>
    </w:pPr>
    <w:rPr>
      <w:rFonts w:ascii="Segoe UI" w:hAnsi="Segoe UI" w:eastAsia="Segoe UI" w:cs="Segoe UI"/>
      <w:b/>
      <w:color w:val="FFFFFF"/>
      <w:sz w:val="17"/>
    </w:rPr>
  </w:style>
  <w:style w:type="paragraph" w:customStyle="1" w:styleId="KUTUMBACalloutBody">
    <w:name w:val="KUTUMBA Callout Body"/>
    <w:pPr>
      <w:spacing w:after="80"/>
    </w:pPr>
    <w:rPr>
      <w:rFonts w:ascii="Calibri" w:hAnsi="Calibri" w:eastAsia="Calibri" w:cs="Calibri"/>
      <w:b w:val="0"/>
      <w:color w:val="2E3033"/>
      <w:sz w:val="20"/>
    </w:rPr>
  </w:style>
  <w:style w:type="paragraph" w:customStyle="1" w:styleId="KUTUMBAVerseDevanagari">
    <w:name w:val="KUTUMBA Verse Devanagari"/>
    <w:pPr>
      <w:keepLines/>
      <w:spacing w:after="80"/>
    </w:pPr>
    <w:rPr>
      <w:rFonts w:ascii="Nirmala UI" w:hAnsi="Nirmala UI" w:eastAsia="Nirmala UI" w:cs="Nirmala UI"/>
      <w:b w:val="0"/>
      <w:color w:val="5B1933"/>
      <w:sz w:val="30"/>
    </w:rPr>
  </w:style>
  <w:style w:type="paragraph" w:customStyle="1" w:styleId="KUTUMBAVerseIAST">
    <w:name w:val="KUTUMBA Verse IAST"/>
    <w:pPr>
      <w:keepLines/>
      <w:spacing w:after="80"/>
    </w:pPr>
    <w:rPr>
      <w:rFonts w:ascii="Calibri" w:hAnsi="Calibri" w:eastAsia="Calibri" w:cs="Calibri"/>
      <w:b w:val="0"/>
      <w:color w:val="4F7C78"/>
      <w:sz w:val="21"/>
    </w:rPr>
  </w:style>
  <w:style w:type="paragraph" w:customStyle="1" w:styleId="KUTUMBARights">
    <w:name w:val="KUTUMBA Rights"/>
    <w:pPr>
      <w:spacing w:after="80"/>
    </w:pPr>
    <w:rPr>
      <w:rFonts w:ascii="Segoe UI" w:hAnsi="Segoe UI" w:eastAsia="Segoe UI" w:cs="Segoe UI"/>
      <w:b w:val="0"/>
      <w:color w:val="2E3033"/>
      <w:sz w:val="16"/>
    </w:rPr>
  </w:style>
  <w:style w:type="table" w:customStyle="1" w:styleId="KUTUMBATable">
    <w:name w:val="KUTUMBA Table"/>
    <w:rPr>
      <w:rFonts w:ascii="Calibri" w:hAnsi="Calibri"/>
      <w:color w:val="2E3033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