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C2-W1 — Family Handout</w:t>
      </w:r>
    </w:p>
    <w:p>
      <w:pPr>
        <w:pStyle w:val="Subtitle"/>
        <w:jc w:val="center"/>
      </w:pPr>
      <w:r>
        <w:t>Family take-home and practice sheet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C2-W1 • Action and Reaction: How Karma Binds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3.9</w:t>
      </w:r>
    </w:p>
    <w:p>
      <w:r>
        <w:t>Source URL: https://vedabase.io/en/library/bg/3/9/</w:t>
      </w:r>
    </w:p>
    <w:p>
      <w:r>
        <w:br w:type="page"/>
      </w:r>
    </w:p>
    <w:p>
      <w:pPr>
        <w:pStyle w:val="Heading1"/>
      </w:pPr>
      <w:r>
        <w:t>Family Home Practice</w:t>
      </w:r>
    </w:p>
    <w:p>
      <w:r>
        <w:rPr>
          <w:b/>
        </w:rPr>
        <w:t>Week:</w:t>
      </w:r>
      <w:r>
        <w:t xml:space="preserve"> Action and Reaction: How Karma Binds </w:t>
      </w:r>
      <w:r>
        <w:rPr>
          <w:b/>
        </w:rPr>
        <w:t>Primary:</w:t>
      </w:r>
      <w:r>
        <w:t xml:space="preserve"> BG 3.9 — https://vedabase.io/en/library/bg/3/9/ </w:t>
      </w:r>
      <w:r>
        <w:rPr>
          <w:b/>
        </w:rPr>
        <w:t>Memory line:</w:t>
      </w:r>
      <w:r>
        <w:t xml:space="preserve"> Choices are seeds. I want to plant service seeds.</w:t>
      </w:r>
    </w:p>
    <w:p>
      <w:pPr>
        <w:pStyle w:val="Heading2"/>
      </w:pPr>
      <w:r>
        <w:t>Minimum (before next Saturday)</w:t>
      </w:r>
    </w:p>
    <w:p>
      <w:r>
        <w:t>Memory line once + before–during–after on one routine duty.</w:t>
      </w:r>
    </w:p>
    <w:p>
      <w:r>
        <w:t>Five minutes counts. No ranking. No photo proof required.</w:t>
      </w:r>
    </w:p>
    <w:p>
      <w:pPr>
        <w:pStyle w:val="Heading2"/>
      </w:pPr>
      <w:r>
        <w:t>Ideal (5–15 minutes)</w:t>
      </w:r>
    </w:p>
    <w:p>
      <w:pPr>
        <w:ind w:left="288"/>
      </w:pPr>
      <w:r>
        <w:t>1. Say the memory line once together.</w:t>
      </w:r>
    </w:p>
    <w:p>
      <w:pPr>
        <w:ind w:left="288"/>
      </w:pPr>
      <w:r>
        <w:t>2. Paraphrase the primary in one family sentence.</w:t>
      </w:r>
    </w:p>
    <w:p>
      <w:pPr>
        <w:ind w:left="288"/>
      </w:pPr>
      <w:r>
        <w:t>3. Do one related gratitude/service/attention act tied to this week’s conclusion: Action with selfish attachment binds; action for the Lord’s purpose can be purified.</w:t>
      </w:r>
    </w:p>
    <w:p>
      <w:pPr>
        <w:pStyle w:val="Heading2"/>
      </w:pPr>
      <w:r>
        <w:t>Optional conversation cue</w:t>
      </w:r>
    </w:p>
    <w:p>
      <w:r>
        <w:t>Essential question: How do our actions bind or free us?</w:t>
      </w:r>
    </w:p>
    <w:p>
      <w:pPr>
        <w:pStyle w:val="Heading2"/>
      </w:pPr>
      <w:r>
        <w:t>Do not</w:t>
      </w:r>
    </w:p>
    <w:p>
      <w:pPr>
        <w:pStyle w:val="ListBullet"/>
      </w:pPr>
      <w:r>
        <w:t>Rank families or children</w:t>
      </w:r>
    </w:p>
    <w:p>
      <w:pPr>
        <w:pStyle w:val="ListBullet"/>
      </w:pPr>
      <w:r>
        <w:t>Diagnose others’ karma/modes/destinations</w:t>
      </w:r>
    </w:p>
    <w:p>
      <w:pPr>
        <w:pStyle w:val="ListBullet"/>
      </w:pPr>
      <w:r>
        <w:t>Invent doctrine beyond this week’s sources</w:t>
      </w:r>
    </w:p>
    <w:p>
      <w:r>
        <w:rPr>
          <w:b/>
        </w:rPr>
        <w:t>Next week (name only):</w:t>
      </w:r>
      <w:r>
        <w:t xml:space="preserve"> C2-W2 — Free Will and Responsibility: The Next Choice Matters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C2-W1 • V13  |  Families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