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 • Action and Reaction: How Karma Binds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3.9</w:t>
      </w:r>
    </w:p>
    <w:p>
      <w:r>
        <w:t>Source URL: https://vedabase.io/en/library/bg/3/9/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11-weekly-program-library/first-six-months/c2-w1-action-and-reaction-how-karma-binds/teacher/PARENT-GUIDE-V13.md  •  SHA-256: 92be86f91e7fcc44223310f0bad6eefc5154454fc0b63d66771f1f4e9d005402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Action and Reaction: How Karma Binds · </w:t>
      </w:r>
      <w:r>
        <w:rPr>
          <w:b/>
        </w:rPr>
        <w:t>Date:</w:t>
      </w:r>
      <w:r>
        <w:t xml:space="preserve"> 2026-11-07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3.9 — https://vedabase.io/en/library/bg/3/9/ </w:t>
      </w:r>
      <w:r>
        <w:rPr>
          <w:b/>
        </w:rPr>
        <w:t>Primary mechanic:</w:t>
      </w:r>
      <w:r>
        <w:t xml:space="preserve"> Cause-effect map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our actions bind or free us?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3.9 — https://vedabase.io/en/library/bg/3/9/</w:t>
      </w:r>
    </w:p>
    <w:p>
      <w:r>
        <w:rPr>
          <w:b/>
        </w:rPr>
        <w:t>Devanāgarī:</w:t>
      </w:r>
      <w:r>
        <w:t xml:space="preserve"> यज्ञार्थात्कर्मणोऽन्यत्र लोकोऽयं कर्मबन्धनः । तदर्थं कर्म कौन्तेय मुक्तसङ्गः समाचर ॥ ९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yajñārthāt karmaṇo ’nyatra loko ’yaṁ karma-bandhanaḥ / tad-arthaṁ karma kaunteya mukta-saṅgaḥ samācara</w:t>
      </w:r>
    </w:p>
    <w:p>
      <w:r>
        <w:rPr>
          <w:b/>
        </w:rPr>
        <w:t>KUTUMBA teaching meaning (not a BBT translation):</w:t>
      </w:r>
      <w:r>
        <w:t xml:space="preserve"> Work done for the satisfaction of the Lord frees us from bondage; otherwise action binds. Therefore act with detachment for His purpose.</w:t>
      </w:r>
    </w:p>
    <w:p>
      <w:pPr>
        <w:pStyle w:val="Heading2"/>
      </w:pPr>
      <w:r>
        <w:t>Memory line</w:t>
      </w:r>
    </w:p>
    <w:p>
      <w:pPr>
        <w:pStyle w:val="Quote"/>
      </w:pPr>
      <w:r>
        <w:t>Choices are seeds. I want to plant service seeds.</w:t>
      </w:r>
    </w:p>
    <w:p>
      <w:pPr>
        <w:pStyle w:val="Heading2"/>
      </w:pPr>
      <w:r>
        <w:t>V13 printable wiring (Cause-effect map)</w:t>
      </w:r>
    </w:p>
    <w:p>
      <w:pPr>
        <w:pStyle w:val="Heading3"/>
      </w:pPr>
      <w:r>
        <w:t>V13 printable block 0–5 — Private reflection — binding speech/habits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does our home act for face/control rather than service?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5–12 — Consequence case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activities/v13-parent/P02-CONSEQUENCE-CASE-CARD-SORT.md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P02-CONSEQUENCE-CASE-CARD-SORT</w:t>
      </w:r>
      <w:r>
        <w:t>)</w:t>
      </w:r>
    </w:p>
    <w:p>
      <w:r>
        <w:t>Sort RESPONSIBLE REPAIR vs MISTAKEN DIAGNOSIS.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Public blame text after a missed pickup.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Before–During–After duty for seven days.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Specific action + frequency + trigger + minimum version.</w:t>
      </w:r>
    </w:p>
    <w:p>
      <w:r>
        <w:t>Keep primary mechanic (</w:t>
      </w:r>
      <w:r>
        <w:rPr>
          <w:b/>
        </w:rPr>
        <w:t>Cause-effect map</w:t>
      </w:r>
      <w:r>
        <w:t>). Block: Fatalism removes responsibility; do not diagnose others’ hardship as specific past karma.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No victim-blaming. No graphic hell imagery with children.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How do our actions bind or free us?</w:t>
      </w:r>
    </w:p>
    <w:p>
      <w:pPr>
        <w:pStyle w:val="Heading2"/>
      </w:pPr>
      <w:r>
        <w:t>Source</w:t>
      </w:r>
    </w:p>
    <w:p>
      <w:r>
        <w:t>BG 3.9 — teaching meaning: Work done for the satisfaction of the Lord frees us from bondage; otherwise action binds. Therefore act with detachment for His purpose.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binding speech/habits</w:t>
      </w:r>
    </w:p>
    <w:p>
      <w:pPr>
        <w:jc w:val="center"/>
      </w:pPr>
      <w:r>
        <w:t>Where does our home act for face/control rather than service?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on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does our home act for face/control rather than service?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Consequence case card sort</w:t>
      </w:r>
    </w:p>
    <w:p>
      <w:pPr>
        <w:jc w:val="center"/>
      </w:pPr>
      <w:r>
        <w:t>Sort RESPONSIBLE REPAIR vs MISTAKEN DIAGNOSIS.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Quiet kitchen help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Gift for applause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Repair private apology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Diagnose cousin’s illness as karma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Offer food first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Win the argument at all costs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Fatalism removes responsibility; do not diagnose others’ hardship as specific past karma.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on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Public blame text after a missed pickup.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After a missed pickup, a parent sends a sharp group-chat blame message copying relatives. The logistics need was real; the public heat was extra.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e-effect-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Before–During–After duty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Choices are seeds. I want to plant service seeds.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on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Specific action + frequency + trigger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on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