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C2-W2 — Family Handout</w:t>
      </w:r>
    </w:p>
    <w:p>
      <w:pPr>
        <w:pStyle w:val="Subtitle"/>
        <w:jc w:val="center"/>
      </w:pPr>
      <w:r>
        <w:t>Family take-home and practice sheet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C2-W2 • Free Will and Responsibility: The Next Choice Matters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Locked Saturday Schedule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4968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Block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1:50–2:00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Arrival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2:00–2:10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Opening mantras + welcome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2:10–2:30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All-family launch/orientation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2:30–3:10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Parallel tracks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3:10–3:30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Reunification + bhakti laboratory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3:30–3:40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Snack + water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3:40–3:55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Saṅkalpa + project + home practice</w:t>
            </w:r>
          </w:p>
        </w:tc>
      </w:tr>
      <w:tr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3:55–4:00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Close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4F7C78"/>
          <w:left w:val="single" w:sz="8" w:color="4F7C78"/>
          <w:bottom w:val="single" w:sz="8" w:color="4F7C78"/>
          <w:right w:val="single" w:sz="8" w:color="4F7C78"/>
          <w:insideH w:val="single" w:sz="8" w:color="4F7C78"/>
          <w:insideV w:val="single" w:sz="8" w:color="4F7C78"/>
        </w:tblBorders>
      </w:tblPr>
      <w:tblGrid>
        <w:gridCol w:w="1944"/>
        <w:gridCol w:w="8136"/>
      </w:tblGrid>
      <w:tr>
        <w:tc>
          <w:tcPr>
            <w:tcW w:type="dxa" w:w="4968"/>
            <w:shd w:fill="4F7C78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TIME CUE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Track handoff is at 2:30; all groups reunite at 3:10.</w:t>
            </w:r>
          </w:p>
        </w:tc>
      </w:tr>
    </w:tbl>
    <w:p>
      <w:pPr>
        <w:spacing w:after="20"/>
      </w:pPr>
    </w:p>
    <w:p>
      <w:r>
        <w:t>Primary verse: BG 18.63</w:t>
      </w:r>
    </w:p>
    <w:p>
      <w:r>
        <w:t>Source URL: https://vedabase.io/en/library/bg/18/63/</w:t>
      </w:r>
    </w:p>
    <w:p>
      <w:r>
        <w:br w:type="page"/>
      </w:r>
    </w:p>
    <w:p>
      <w:pPr>
        <w:pStyle w:val="Heading1"/>
      </w:pPr>
      <w:r>
        <w:t>Family Home Practice</w:t>
      </w:r>
    </w:p>
    <w:p>
      <w:r>
        <w:rPr>
          <w:b/>
        </w:rPr>
        <w:t>Week:</w:t>
      </w:r>
      <w:r>
        <w:t xml:space="preserve"> Free Will and Responsibility: The Next Choice Matters </w:t>
      </w:r>
      <w:r>
        <w:rPr>
          <w:b/>
        </w:rPr>
        <w:t>Primary:</w:t>
      </w:r>
      <w:r>
        <w:t xml:space="preserve"> BG 18.63 — https://vedabase.io/en/library/bg/18/63/ </w:t>
      </w:r>
      <w:r>
        <w:rPr>
          <w:b/>
        </w:rPr>
        <w:t>Memory line:</w:t>
      </w:r>
      <w:r>
        <w:t xml:space="preserve"> The next choice matters.</w:t>
      </w:r>
    </w:p>
    <w:p>
      <w:pPr>
        <w:pStyle w:val="Heading2"/>
      </w:pPr>
      <w:r>
        <w:t>Minimum (before next Saturday)</w:t>
      </w:r>
    </w:p>
    <w:p>
      <w:r>
        <w:t>Memory line once + name one next responsible choice for tomorrow morning.</w:t>
      </w:r>
    </w:p>
    <w:p>
      <w:r>
        <w:t>Five minutes counts. No ranking. No photo proof required.</w:t>
      </w:r>
    </w:p>
    <w:p>
      <w:pPr>
        <w:pStyle w:val="Heading2"/>
      </w:pPr>
      <w:r>
        <w:t>Ideal (5–15 minutes)</w:t>
      </w:r>
    </w:p>
    <w:p>
      <w:pPr>
        <w:ind w:left="288"/>
      </w:pPr>
      <w:r>
        <w:t>1. Say the memory line once together.</w:t>
      </w:r>
    </w:p>
    <w:p>
      <w:pPr>
        <w:ind w:left="288"/>
      </w:pPr>
      <w:r>
        <w:t>2. Paraphrase the primary in one family sentence.</w:t>
      </w:r>
    </w:p>
    <w:p>
      <w:pPr>
        <w:ind w:left="288"/>
      </w:pPr>
      <w:r>
        <w:t>3. Do one related gratitude/service/attention act tied to this week’s conclusion: Knowledge invites deliberation; the living being still chooses; the next choice matters.</w:t>
      </w:r>
    </w:p>
    <w:p>
      <w:pPr>
        <w:pStyle w:val="Heading2"/>
      </w:pPr>
      <w:r>
        <w:t>Optional conversation cue</w:t>
      </w:r>
    </w:p>
    <w:p>
      <w:r>
        <w:t>Essential question: What is my next responsible choice?</w:t>
      </w:r>
    </w:p>
    <w:p>
      <w:pPr>
        <w:pStyle w:val="Heading2"/>
      </w:pPr>
      <w:r>
        <w:t>Do not</w:t>
      </w:r>
    </w:p>
    <w:p>
      <w:pPr>
        <w:pStyle w:val="ListBullet"/>
      </w:pPr>
      <w:r>
        <w:t>Rank families or children</w:t>
      </w:r>
    </w:p>
    <w:p>
      <w:pPr>
        <w:pStyle w:val="ListBullet"/>
      </w:pPr>
      <w:r>
        <w:t>Diagnose others’ karma/modes/destinations</w:t>
      </w:r>
    </w:p>
    <w:p>
      <w:pPr>
        <w:pStyle w:val="ListBullet"/>
      </w:pPr>
      <w:r>
        <w:t>Invent doctrine beyond this week’s sources</w:t>
      </w:r>
    </w:p>
    <w:p>
      <w:r>
        <w:rPr>
          <w:b/>
        </w:rPr>
        <w:t>Next week (name only):</w:t>
      </w:r>
      <w:r>
        <w:t xml:space="preserve"> C2-W3 — Birth, Death and Reincarnation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2E3033"/>
          <w:left w:val="single" w:sz="8" w:color="2E3033"/>
          <w:bottom w:val="single" w:sz="8" w:color="2E3033"/>
          <w:right w:val="single" w:sz="8" w:color="2E3033"/>
          <w:insideH w:val="single" w:sz="8" w:color="2E3033"/>
          <w:insideV w:val="single" w:sz="8" w:color="2E3033"/>
        </w:tblBorders>
      </w:tblPr>
      <w:tblGrid>
        <w:gridCol w:w="1944"/>
        <w:gridCol w:w="8136"/>
      </w:tblGrid>
      <w:tr>
        <w:tc>
          <w:tcPr>
            <w:tcW w:type="dxa" w:w="4968"/>
            <w:shd w:fill="2E3033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Label"/>
              <w:jc w:val="center"/>
            </w:pPr>
            <w:r>
              <w:t>RIGHTS NOTE</w:t>
            </w:r>
          </w:p>
        </w:tc>
        <w:tc>
          <w:tcPr>
            <w:tcW w:type="dxa" w:w="4968"/>
            <w:shd w:fill="EFF0F1"/>
            <w:tcMar>
              <w:top w:w="130" w:type="dxa"/>
              <w:start w:w="140" w:type="dxa"/>
              <w:bottom w:w="130" w:type="dxa"/>
              <w:end w:w="140" w:type="dxa"/>
            </w:tcMar>
            <w:vAlign w:val="center"/>
          </w:tcPr>
          <w:p>
            <w:pPr>
              <w:pStyle w:val="KUTUMBACalloutBody"/>
            </w:pPr>
            <w:r>
              <w:t>KUTUMBA-original framing; cited third-party material retains its own rights. Human/temple review remains EXTERNAL_OPEN.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C2-W2 • V13  |  Families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