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 •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14.5</w:t>
      </w:r>
    </w:p>
    <w:p>
      <w:r>
        <w:t>Source URL: https://vedabase.io/en/library/bg/14/5/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The Three Modes of Material Nature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Memory line:</w:t>
      </w:r>
      <w:r>
        <w:t xml:space="preserve"> Calm helps me hear Kṛṣṇa.</w:t>
      </w:r>
    </w:p>
    <w:p>
      <w:pPr>
        <w:pStyle w:val="Heading2"/>
      </w:pPr>
      <w:r>
        <w:t>Minimum (before next Saturday)</w:t>
      </w:r>
    </w:p>
    <w:p>
      <w:r>
        <w:t>Memory line once + one five-minute environment reset before chanting/reading.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Sattva, rajas, and tamas condition the embodied self; notice the moment; design supports; never label persons.</w:t>
      </w:r>
    </w:p>
    <w:p>
      <w:pPr>
        <w:pStyle w:val="Heading2"/>
      </w:pPr>
      <w:r>
        <w:t>Optional conversation cue</w:t>
      </w:r>
    </w:p>
    <w:p>
      <w:r>
        <w:t>Essential question: Which mode is shaping this moment?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C2-W5 — Māyā: Decorating the Prison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