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 • The Three Modes of Material Nature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14.5</w:t>
      </w:r>
    </w:p>
    <w:p>
      <w:r>
        <w:t>Source URL: https://vedabase.io/en/library/bg/14/5/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11-weekly-program-library/first-six-months/c2-w4-the-three-modes-of-material-nature/V13-WEEK-START-HERE.md  •  SHA-256: 385c9c219088ff3349d23b0f6744a2ce583cdcace763ec0ef5fb841d062d71fc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C2-W4 — The Three Modes of Material Nature </w:t>
      </w:r>
      <w:r>
        <w:rPr>
          <w:b/>
        </w:rPr>
        <w:t>Date:</w:t>
      </w:r>
      <w:r>
        <w:t xml:space="preserve"> Saturday 28 Nov 2026 </w:t>
      </w:r>
      <w:r>
        <w:rPr>
          <w:b/>
        </w:rPr>
        <w:t>This is the only C2-W4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Which mode is shaping this moment?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Sattva, rajas, and tamas condition the embodied self; notice the moment; design supports; never label persons.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Calm helps me hear Kṛṣṇa.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14.5** — https://vedabase.io/en/library/bg/14/5/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Scenario sorting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Labeling people/families as a mode; food policing as spiritual superiority.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Never label persons. Avoid food policing. Environment supports practice; devotion is the goal.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exports/final/v13/C2/C2-W4/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five-minute environment reset before chanting/reading.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C2-W5 — Māyā: Decorating the Prison Cell.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C2-W4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