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C2-W5 — Younger Teacher Pack</w:t>
      </w:r>
    </w:p>
    <w:p>
      <w:pPr>
        <w:pStyle w:val="Subtitle"/>
        <w:jc w:val="center"/>
      </w:pPr>
      <w:r>
        <w:t>K–2 run sheet and activities</w:t>
      </w:r>
    </w:p>
    <w:p>
      <w:pPr>
        <w:spacing w:before="360"/>
        <w:jc w:val="center"/>
      </w:pPr>
      <w:r>
        <w:rPr>
          <w:rFonts w:ascii="Cambria" w:hAnsi="Cambria" w:eastAsia="Cambria" w:cs="Cambria"/>
          <w:b/>
          <w:color w:val="7A263A"/>
          <w:sz w:val="24"/>
        </w:rPr>
        <w:t>C2-W5 • Māyā: Decorating the Prison Cell</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Locked Saturday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BG 7.14</w:t>
      </w:r>
    </w:p>
    <w:p>
      <w:r>
        <w:t>Source URL: https://vedabase.io/en/library/bg/7/14/</w:t>
      </w:r>
    </w:p>
    <w:p>
      <w:r>
        <w:br w:type="page"/>
      </w:r>
    </w:p>
    <w:p>
      <w:pPr>
        <w:pStyle w:val="Heading1"/>
      </w:pPr>
      <w:r>
        <w:t>Younger Teacher Run Sheet</w:t>
      </w:r>
    </w:p>
    <w:p>
      <w:pPr>
        <w:pStyle w:val="KUTUMBARights"/>
      </w:pPr>
      <w:r>
        <w:t>Canonical source: 11-weekly-program-library/first-six-months/c2-w5-māyā-decorating-the-prison-cell/teacher/YOUNGER-TEACHER-GUIDE-V13.md  •  SHA-256: 919f92a610757901d6e2c5d89667ade858a88ddc56c1fd12a1b563ff9d040f70</w:t>
      </w:r>
    </w:p>
    <w:p>
      <w:r>
        <w:rPr>
          <w:b/>
        </w:rPr>
        <w:t>KUTUMBA · Families Growing in Krishna Consciousness</w:t>
      </w:r>
      <w:r>
        <w:t xml:space="preserve"> </w:t>
      </w:r>
      <w:r>
        <w:rPr>
          <w:b/>
        </w:rPr>
        <w:t>Program Director: Swapnil Patil</w:t>
      </w:r>
      <w:r>
        <w:t xml:space="preserve"> </w:t>
      </w:r>
      <w:r>
        <w:rPr>
          <w:b/>
        </w:rPr>
        <w:t>Week:</w:t>
      </w:r>
      <w:r>
        <w:t xml:space="preserve"> Māyā: Decorating the Prison Cell · </w:t>
      </w:r>
      <w:r>
        <w:rPr>
          <w:b/>
        </w:rPr>
        <w:t>Date:</w:t>
      </w:r>
      <w:r>
        <w:t xml:space="preserve"> 2026-12-05 </w:t>
      </w:r>
      <w:r>
        <w:rPr>
          <w:b/>
        </w:rPr>
        <w:t>Track window:</w:t>
      </w:r>
      <w:r>
        <w:t xml:space="preserve"> Saturday </w:t>
      </w:r>
      <w:r>
        <w:rPr>
          <w:b/>
        </w:rPr>
        <w:t>2:30–3:10</w:t>
      </w:r>
      <w:r>
        <w:t xml:space="preserve"> (K–2) </w:t>
      </w:r>
      <w:r>
        <w:rPr>
          <w:b/>
        </w:rPr>
        <w:t>Reunite:</w:t>
      </w:r>
      <w:r>
        <w:t xml:space="preserve"> </w:t>
      </w:r>
      <w:r>
        <w:rPr>
          <w:b/>
        </w:rPr>
        <w:t>3:10</w:t>
      </w:r>
      <w:r>
        <w:t xml:space="preserve"> for bhakti laboratory </w:t>
      </w:r>
      <w:r>
        <w:rPr>
          <w:b/>
        </w:rPr>
        <w:t>Primary:</w:t>
      </w:r>
      <w:r>
        <w:t xml:space="preserve"> BG 7.14 — https://vedabase.io/en/library/bg/7/14/ </w:t>
      </w:r>
      <w:r>
        <w:rPr>
          <w:b/>
        </w:rPr>
        <w:t>Primary mechanic:</w:t>
      </w:r>
      <w:r>
        <w:t xml:space="preserve"> Attention trap cases </w:t>
      </w:r>
      <w:r>
        <w:rPr>
          <w:b/>
        </w:rPr>
        <w:t>Status:</w:t>
      </w:r>
      <w:r>
        <w:t xml:space="preserve"> Internal founding-cohort teaching material — human/temple review EXTERNAL_OPEN</w:t>
      </w:r>
    </w:p>
    <w:p>
      <w:pPr>
        <w:pStyle w:val="Heading2"/>
      </w:pPr>
      <w:r>
        <w:t>Essential question</w:t>
      </w:r>
    </w:p>
    <w:p>
      <w:r>
        <w:t>Where are we decorating bondage?</w:t>
      </w:r>
    </w:p>
    <w:p>
      <w:pPr>
        <w:pStyle w:val="Heading2"/>
      </w:pPr>
      <w:r>
        <w:t>Materials (print before Saturday)</w:t>
      </w:r>
    </w:p>
    <w:p>
      <w:r>
        <w:t xml:space="preserve">From </w:t>
      </w:r>
      <w:r>
        <w:rPr>
          <w:rFonts w:ascii="Consolas" w:hAnsi="Consolas"/>
          <w:color w:val="7A263A"/>
          <w:sz w:val="18"/>
        </w:rPr>
        <w:t>activities/v13-younger/</w:t>
      </w:r>
      <w:r>
        <w:t xml:space="preserve">: </w:t>
      </w:r>
      <w:r>
        <w:rPr>
          <w:b/>
        </w:rPr>
        <w:t>Y01–Y05</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BG 7.14 — https://vedabase.io/en/library/bg/7/14/</w:t>
      </w:r>
    </w:p>
    <w:p>
      <w:r>
        <w:rPr>
          <w:b/>
        </w:rPr>
        <w:t>Devanāgarī:</w:t>
      </w:r>
      <w:r>
        <w:t xml:space="preserve"> दैवी ह्येषा गुणमयी मम माया दुरत्यया । मामेव ये प्रपद्यन्ते मायामेतां तरन्ति ते ॥ १४ ॥</w:t>
      </w:r>
    </w:p>
    <w:p>
      <w:r>
        <w:rPr>
          <w:b/>
        </w:rPr>
        <w:t>IAST:</w:t>
      </w:r>
      <w:r>
        <w:t xml:space="preserve"> </w:t>
      </w:r>
      <w:r>
        <w:rPr>
          <w:rFonts w:ascii="Consolas" w:hAnsi="Consolas"/>
          <w:color w:val="7A263A"/>
          <w:sz w:val="18"/>
        </w:rPr>
        <w:t>daivī hy eṣā guṇa-mayī mama māyā duratyayā / mām eva ye prapadyante māyām etāṁ taranti te</w:t>
      </w:r>
    </w:p>
    <w:p>
      <w:r>
        <w:rPr>
          <w:b/>
        </w:rPr>
        <w:t>KUTUMBA teaching meaning (not a BBT translation):</w:t>
      </w:r>
      <w:r>
        <w:t xml:space="preserve"> This divine illusory energy of the Lord, made of the modes, is difficult to overcome — but those who surrender unto Him cross beyond it.</w:t>
      </w:r>
    </w:p>
    <w:p>
      <w:pPr>
        <w:pStyle w:val="Heading2"/>
      </w:pPr>
      <w:r>
        <w:t>Memory line</w:t>
      </w:r>
    </w:p>
    <w:p>
      <w:pPr>
        <w:pStyle w:val="Quote"/>
      </w:pPr>
      <w:r>
        <w:t>Surrender crosses māyā.</w:t>
      </w:r>
    </w:p>
    <w:p>
      <w:pPr>
        <w:pStyle w:val="Heading2"/>
      </w:pPr>
      <w:r>
        <w:t>V13 printable wiring (Attention trap cases)</w:t>
      </w:r>
    </w:p>
    <w:p>
      <w:pPr>
        <w:pStyle w:val="Heading3"/>
      </w:pPr>
      <w:r>
        <w:t>V13 printable block 0–6 — Simple trap/escape path</w:t>
      </w:r>
    </w:p>
    <w:p>
      <w:r>
        <w:rPr>
          <w:b/>
        </w:rPr>
        <w:t>Printable:</w:t>
      </w:r>
      <w:r>
        <w:t xml:space="preserve"> </w:t>
      </w:r>
      <w:r>
        <w:rPr>
          <w:rFonts w:ascii="Consolas" w:hAnsi="Consolas"/>
          <w:color w:val="7A263A"/>
          <w:sz w:val="18"/>
        </w:rPr>
        <w:t>activities/v13-younger/Y01-TRAP-ESCAPE-PATH.md</w:t>
      </w:r>
      <w:r>
        <w:t xml:space="preserve"> (</w:t>
      </w:r>
      <w:r>
        <w:rPr>
          <w:rFonts w:ascii="Consolas" w:hAnsi="Consolas"/>
          <w:color w:val="7A263A"/>
          <w:sz w:val="18"/>
        </w:rPr>
        <w:t>Y01-TRAP-ESCAPE-PATH</w:t>
      </w:r>
      <w:r>
        <w:t>)</w:t>
      </w:r>
    </w:p>
    <w:p>
      <w:r>
        <w:t>Follow path: shiny trap → pause → call Kṛṣṇa / kind help.</w:t>
      </w:r>
    </w:p>
    <w:p>
      <w:r>
        <w:t>Keep primary mechanic (</w:t>
      </w:r>
      <w:r>
        <w:rPr>
          <w:b/>
        </w:rPr>
        <w:t>Attention trap cases</w:t>
      </w:r>
      <w:r>
        <w:t>). Block: Hate all material duty / “women are māyā”; willpower alone conquers māyā without surrender.</w:t>
      </w:r>
    </w:p>
    <w:p>
      <w:pPr>
        <w:pStyle w:val="Heading3"/>
      </w:pPr>
      <w:r>
        <w:t>V13 printable block 6–14 — Shiny vs real matching</w:t>
      </w:r>
    </w:p>
    <w:p>
      <w:r>
        <w:rPr>
          <w:b/>
        </w:rPr>
        <w:t>Printable:</w:t>
      </w:r>
      <w:r>
        <w:t xml:space="preserve"> </w:t>
      </w:r>
      <w:r>
        <w:rPr>
          <w:rFonts w:ascii="Consolas" w:hAnsi="Consolas"/>
          <w:color w:val="7A263A"/>
          <w:sz w:val="18"/>
        </w:rPr>
        <w:t>activities/v13-younger/Y02-SHINY-VS-REAL-MATCHING.md</w:t>
      </w:r>
      <w:r>
        <w:t xml:space="preserve"> (</w:t>
      </w:r>
      <w:r>
        <w:rPr>
          <w:rFonts w:ascii="Consolas" w:hAnsi="Consolas"/>
          <w:color w:val="7A263A"/>
          <w:sz w:val="18"/>
        </w:rPr>
        <w:t>Y02-SHINY-VS-REAL-MATCHING</w:t>
      </w:r>
      <w:r>
        <w:t>)</w:t>
      </w:r>
    </w:p>
    <w:p>
      <w:r>
        <w:t>Match ads/toys to “looks big” vs “helps love.”</w:t>
      </w:r>
    </w:p>
    <w:p>
      <w:r>
        <w:t>Keep primary mechanic (</w:t>
      </w:r>
      <w:r>
        <w:rPr>
          <w:b/>
        </w:rPr>
        <w:t>Attention trap cases</w:t>
      </w:r>
      <w:r>
        <w:t>). Block: Hate all material duty / “women are māyā”; willpower alone conquers māyā without surrender.</w:t>
      </w:r>
    </w:p>
    <w:p>
      <w:pPr>
        <w:pStyle w:val="Heading3"/>
      </w:pPr>
      <w:r>
        <w:t>V13 printable block 14–24 — Escape lantern craft</w:t>
      </w:r>
    </w:p>
    <w:p>
      <w:r>
        <w:rPr>
          <w:b/>
        </w:rPr>
        <w:t>Printable:</w:t>
      </w:r>
      <w:r>
        <w:t xml:space="preserve"> </w:t>
      </w:r>
      <w:r>
        <w:rPr>
          <w:rFonts w:ascii="Consolas" w:hAnsi="Consolas"/>
          <w:color w:val="7A263A"/>
          <w:sz w:val="18"/>
        </w:rPr>
        <w:t>activities/v13-younger/Y03-ESCAPE-LANTERN-CRAFT.md</w:t>
      </w:r>
      <w:r>
        <w:t xml:space="preserve"> (</w:t>
      </w:r>
      <w:r>
        <w:rPr>
          <w:rFonts w:ascii="Consolas" w:hAnsi="Consolas"/>
          <w:color w:val="7A263A"/>
          <w:sz w:val="18"/>
        </w:rPr>
        <w:t>Y03-ESCAPE-LANTERN-CRAFT</w:t>
      </w:r>
      <w:r>
        <w:t>)</w:t>
      </w:r>
    </w:p>
    <w:p>
      <w:r>
        <w:t>Craft a lantern card for holy name / help.</w:t>
      </w:r>
    </w:p>
    <w:p>
      <w:r>
        <w:t>Keep primary mechanic (</w:t>
      </w:r>
      <w:r>
        <w:rPr>
          <w:b/>
        </w:rPr>
        <w:t>Attention trap cases</w:t>
      </w:r>
      <w:r>
        <w:t>). Block: Hate all material duty / “women are māyā”; willpower alone conquers māyā without surrender.</w:t>
      </w:r>
    </w:p>
    <w:p>
      <w:pPr>
        <w:pStyle w:val="Heading3"/>
      </w:pPr>
      <w:r>
        <w:t>V13 printable block 24–32 — Pause cards</w:t>
      </w:r>
    </w:p>
    <w:p>
      <w:r>
        <w:rPr>
          <w:b/>
        </w:rPr>
        <w:t>Printable:</w:t>
      </w:r>
      <w:r>
        <w:t xml:space="preserve"> </w:t>
      </w:r>
      <w:r>
        <w:rPr>
          <w:rFonts w:ascii="Consolas" w:hAnsi="Consolas"/>
          <w:color w:val="7A263A"/>
          <w:sz w:val="18"/>
        </w:rPr>
        <w:t>activities/v13-younger/Y04-PAUSE-CARDS.md</w:t>
      </w:r>
      <w:r>
        <w:t xml:space="preserve"> (</w:t>
      </w:r>
      <w:r>
        <w:rPr>
          <w:rFonts w:ascii="Consolas" w:hAnsi="Consolas"/>
          <w:color w:val="7A263A"/>
          <w:sz w:val="18"/>
        </w:rPr>
        <w:t>Y04-PAUSE-CARDS</w:t>
      </w:r>
      <w:r>
        <w:t>)</w:t>
      </w:r>
    </w:p>
    <w:p>
      <w:r>
        <w:t>When stuck, point to Pause / Ask / Chant.</w:t>
      </w:r>
    </w:p>
    <w:p>
      <w:r>
        <w:t>Keep primary mechanic (</w:t>
      </w:r>
      <w:r>
        <w:rPr>
          <w:b/>
        </w:rPr>
        <w:t>Attention trap cases</w:t>
      </w:r>
      <w:r>
        <w:t>). Block: Hate all material duty / “women are māyā”; willpower alone conquers māyā without surrender.</w:t>
      </w:r>
    </w:p>
    <w:p>
      <w:pPr>
        <w:pStyle w:val="Heading3"/>
      </w:pPr>
      <w:r>
        <w:t>V13 printable block 32–38 — Memory phrase mat</w:t>
      </w:r>
    </w:p>
    <w:p>
      <w:r>
        <w:rPr>
          <w:b/>
        </w:rPr>
        <w:t>Printable:</w:t>
      </w:r>
      <w:r>
        <w:t xml:space="preserve"> </w:t>
      </w:r>
      <w:r>
        <w:rPr>
          <w:rFonts w:ascii="Consolas" w:hAnsi="Consolas"/>
          <w:color w:val="7A263A"/>
          <w:sz w:val="18"/>
        </w:rPr>
        <w:t>activities/v13-younger/Y05-MEMORY-PHRASE-MAT.md</w:t>
      </w:r>
      <w:r>
        <w:t xml:space="preserve"> (</w:t>
      </w:r>
      <w:r>
        <w:rPr>
          <w:rFonts w:ascii="Consolas" w:hAnsi="Consolas"/>
          <w:color w:val="7A263A"/>
          <w:sz w:val="18"/>
        </w:rPr>
        <w:t>Y05-MEMORY-PHRASE-MAT</w:t>
      </w:r>
      <w:r>
        <w:t>)</w:t>
      </w:r>
    </w:p>
    <w:p>
      <w:r>
        <w:t>Echo: Surrender crosses māyā.</w:t>
      </w:r>
    </w:p>
    <w:p>
      <w:r>
        <w:t>Keep primary mechanic (</w:t>
      </w:r>
      <w:r>
        <w:rPr>
          <w:b/>
        </w:rPr>
        <w:t>Attention trap cases</w:t>
      </w:r>
      <w:r>
        <w:t>). Block: Hate all material duty / “women are māyā”; willpower alone conquers māyā without surrender.</w:t>
      </w:r>
    </w:p>
    <w:p>
      <w:pPr>
        <w:pStyle w:val="Heading2"/>
      </w:pPr>
      <w:r>
        <w:t>Close of track (handoff)</w:t>
      </w:r>
    </w:p>
    <w:p>
      <w:r>
        <w:t>Bring one sentence or artifact to reunification. Do not start next week’s topic. Care boundary: Age-sensitive; no fear/paranoia; decorating-prison analogy with limits.</w:t>
      </w:r>
    </w:p>
    <w:p>
      <w:pPr>
        <w:pStyle w:val="Heading2"/>
      </w:pPr>
      <w:r>
        <w:t xml:space="preserve">Inherited classroom depth (from V12 </w:t>
      </w:r>
      <w:r>
        <w:rPr>
          <w:rFonts w:ascii="Consolas" w:hAnsi="Consolas"/>
          <w:color w:val="7A263A"/>
          <w:sz w:val="18"/>
        </w:rPr>
        <w:t>YOUNGER-TEACHER-GUIDE.md</w:t>
      </w:r>
      <w:r>
        <w:t>)</w:t>
      </w:r>
    </w:p>
    <w:p>
      <w:pPr>
        <w:pStyle w:val="Quote"/>
      </w:pPr>
      <w:r>
        <w:t>Keep story scripts, movement steps, and wonder questions below. Wire printables to the V13 codes above; do not replace this depth with “see research.”</w:t>
      </w:r>
    </w:p>
    <w:p>
      <w:r>
        <w:rPr>
          <w:b/>
        </w:rPr>
        <w:t>Week:</w:t>
      </w:r>
      <w:r>
        <w:t xml:space="preserve"> Māyā: Decorating the Prison Cell </w:t>
      </w:r>
      <w:r>
        <w:rPr>
          <w:b/>
        </w:rPr>
        <w:t>Primary:</w:t>
      </w:r>
      <w:r>
        <w:t xml:space="preserve"> BG 7.14 — https://vedabase.io/en/library/bg/7/14/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Children learn that shiny things can pull attention away from what matters, practice stop-and-choose, and clearly say people are not māyā. They take home a decorated-cage craft with the memory phrase.</w:t>
      </w:r>
    </w:p>
    <w:p>
      <w:pPr>
        <w:pStyle w:val="Heading2"/>
      </w:pPr>
      <w:r>
        <w:t>Exact memory phrase</w:t>
      </w:r>
    </w:p>
    <w:p>
      <w:pPr>
        <w:pStyle w:val="Quote"/>
      </w:pPr>
      <w:r>
        <w:t>Surrender crosses māyā.</w:t>
      </w:r>
    </w:p>
    <w:p>
      <w:pPr>
        <w:pStyle w:val="Heading2"/>
      </w:pPr>
      <w:r>
        <w:t>Teacher background (2 minutes to review)</w:t>
      </w:r>
    </w:p>
    <w:p>
      <w:pPr>
        <w:pStyle w:val="ListBullet"/>
      </w:pPr>
      <w:r>
        <w:rPr>
          <w:b/>
        </w:rPr>
        <w:t>KUTUMBA teaching meaning (adult wording):</w:t>
      </w:r>
      <w:r>
        <w:t xml:space="preserve"> This divine illusory energy of the Lord, made of the modes, is difficult to overcome — but those who surrender unto Him cross beyond it.</w:t>
      </w:r>
    </w:p>
    <w:p>
      <w:pPr>
        <w:pStyle w:val="ListBullet"/>
      </w:pPr>
      <w:r>
        <w:rPr>
          <w:b/>
        </w:rPr>
        <w:t>Child-facing paraphrase:</w:t>
      </w:r>
      <w:r>
        <w:t xml:space="preserve"> Kṛṣṇa’s energy can make forgetfulness look shiny. We ask Kṛṣṇa for help and choose good next steps. People are not māyā.</w:t>
      </w:r>
    </w:p>
    <w:p>
      <w:pPr>
        <w:pStyle w:val="ListBullet"/>
      </w:pPr>
      <w:r>
        <w:rPr>
          <w:b/>
        </w:rPr>
        <w:t>Block misconceptions (child words):</w:t>
      </w:r>
    </w:p>
    <w:p>
      <w:pPr>
        <w:pStyle w:val="ListBullet"/>
      </w:pPr>
      <w:r>
        <w:t>“People (or girls/boys) are māyā.”</w:t>
      </w:r>
    </w:p>
    <w:p>
      <w:pPr>
        <w:pStyle w:val="ListBullet"/>
      </w:pPr>
      <w:r>
        <w:t>“I can grab every shiny thing.”</w:t>
      </w:r>
    </w:p>
    <w:p>
      <w:pPr>
        <w:pStyle w:val="ListBullet"/>
      </w:pPr>
      <w:r>
        <w:rPr>
          <w:b/>
        </w:rPr>
        <w:t>Do not:</w:t>
      </w:r>
      <w:r>
        <w:t xml:space="preserve"> invent deity dialogue; force confession; rank children; use scare tactics; claim temple certification stickers.</w:t>
      </w:r>
    </w:p>
    <w:p>
      <w:pPr>
        <w:pStyle w:val="Heading2"/>
      </w:pPr>
      <w:r>
        <w:t>Materials</w:t>
      </w:r>
    </w:p>
    <w:p>
      <w:pPr>
        <w:pStyle w:val="ListBullet"/>
      </w:pPr>
      <w:r>
        <w:t>Shiny toy or foil card vs helping-hands picture</w:t>
      </w:r>
    </w:p>
    <w:p>
      <w:pPr>
        <w:pStyle w:val="ListBullet"/>
      </w:pPr>
      <w:r>
        <w:t>Soft puppet</w:t>
      </w:r>
    </w:p>
    <w:p>
      <w:pPr>
        <w:pStyle w:val="ListBullet"/>
      </w:pPr>
      <w:r>
        <w:t>Card stock cages / boxes for craft</w:t>
      </w:r>
    </w:p>
    <w:p>
      <w:pPr>
        <w:pStyle w:val="ListBullet"/>
      </w:pPr>
      <w:r>
        <w:t>Stickers, crayons, glue sticks</w:t>
      </w:r>
    </w:p>
    <w:p>
      <w:pPr>
        <w:pStyle w:val="ListBullet"/>
      </w:pPr>
      <w:r>
        <w:t>Printed memory phrase stickers if available</w:t>
      </w:r>
    </w:p>
    <w:p>
      <w:pPr>
        <w:pStyle w:val="ListBullet"/>
      </w:pPr>
      <w:r>
        <w:t>Soft toss object for backup</w:t>
      </w:r>
    </w:p>
    <w:p>
      <w:pPr>
        <w:pStyle w:val="ListBullet"/>
      </w:pPr>
      <w:r>
        <w:t>Calm-corner chair</w:t>
      </w:r>
    </w:p>
    <w:p>
      <w:pPr>
        <w:pStyle w:val="Heading2"/>
      </w:pPr>
      <w:r>
        <w:t>Room setup</w:t>
      </w:r>
    </w:p>
    <w:p>
      <w:r>
        <w:t>Circle on the floor; materials table behind you; calm corner with one chair for quiet reset. Keep aisles clear for movement.</w:t>
      </w:r>
    </w:p>
    <w:p>
      <w:pPr>
        <w:pStyle w:val="Heading2"/>
      </w:pPr>
      <w:r>
        <w:t>Minute-by-minute executable plan</w:t>
      </w:r>
    </w:p>
    <w:p>
      <w:pPr>
        <w:pStyle w:val="Heading3"/>
      </w:pPr>
      <w:r>
        <w:t>0–5 min — Opening and recall</w:t>
      </w:r>
    </w:p>
    <w:p>
      <w:pPr>
        <w:ind w:left="288"/>
      </w:pPr>
      <w:r>
        <w:t>1. Welcome by name; feet on floor.</w:t>
      </w:r>
    </w:p>
    <w:p>
      <w:pPr>
        <w:ind w:left="288"/>
      </w:pPr>
      <w:r>
        <w:t xml:space="preserve">2. Echo memory phrase three times: </w:t>
      </w:r>
      <w:r>
        <w:rPr>
          <w:i/>
        </w:rPr>
        <w:t>Surrender / crosses / māyā.</w:t>
      </w:r>
    </w:p>
    <w:p>
      <w:pPr>
        <w:ind w:left="288"/>
      </w:pPr>
      <w:r>
        <w:t>3. Show shiny card and helping card.</w:t>
      </w:r>
    </w:p>
    <w:p>
      <w:pPr>
        <w:ind w:left="288"/>
      </w:pPr>
      <w:r>
        <w:t>4. Practice the correction sentence once: “People are not māyā.”</w:t>
      </w:r>
    </w:p>
    <w:p>
      <w:pPr>
        <w:pStyle w:val="Heading3"/>
      </w:pPr>
      <w:r>
        <w:t>5–13 min — Story script (paraphrase only; ~8 minutes)</w:t>
      </w:r>
    </w:p>
    <w:p>
      <w:r>
        <w:rPr>
          <w:b/>
        </w:rPr>
        <w:t>Say exactly this spine (do not invent deity dialogue):</w:t>
      </w:r>
    </w:p>
    <w:p>
      <w:pPr>
        <w:pStyle w:val="Quote"/>
      </w:pPr>
      <w:r>
        <w:t>Sometimes something shiny makes us forget what we were doing to help. Kṛṣṇa teaches that His material energy is hard to cross by ourselves. When we take shelter of Kṛṣṇa, we can cross. A pretty cage is still a cage if we forget Kṛṣṇa. Making the cage pretty is not the same as being free. People are not māyā. Māyā is the energy that makes us forget. We can stop, remember Kṛṣṇa, and choose a helping step.</w:t>
      </w:r>
    </w:p>
    <w:p>
      <w:r>
        <w:rPr>
          <w:b/>
        </w:rPr>
        <w:t>Story boundaries:</w:t>
      </w:r>
      <w:r>
        <w:t xml:space="preserve"> Paraphrase BG 7.14 themes only. No invented deity quotes. No scary prison talk. No blaming a child as “māyā.”</w:t>
      </w:r>
    </w:p>
    <w:p>
      <w:pPr>
        <w:pStyle w:val="Heading3"/>
      </w:pPr>
      <w:r>
        <w:t>13–16 min — Three wonder questions</w:t>
      </w:r>
    </w:p>
    <w:p>
      <w:pPr>
        <w:ind w:left="288"/>
      </w:pPr>
      <w:r>
        <w:t>1. What should we do when something shiny pulls us?</w:t>
      </w:r>
    </w:p>
    <w:p>
      <w:pPr>
        <w:ind w:left="288"/>
      </w:pPr>
      <w:r>
        <w:t>2. Who helps us cross when forgetting feels strong? (Kṛṣṇa)</w:t>
      </w:r>
    </w:p>
    <w:p>
      <w:pPr>
        <w:ind w:left="288"/>
      </w:pPr>
      <w:r>
        <w:t>3. Are people māyā? (No.)</w:t>
      </w:r>
    </w:p>
    <w:p>
      <w:r>
        <w:t>Accept one- or two-word answers. Affirm effort.</w:t>
      </w:r>
    </w:p>
    <w:p>
      <w:pPr>
        <w:pStyle w:val="Heading3"/>
      </w:pPr>
      <w:r>
        <w:t>16–24 min — Movement game: Shiny Freeze and Help (steps)</w:t>
      </w:r>
    </w:p>
    <w:p>
      <w:pPr>
        <w:ind w:left="288"/>
      </w:pPr>
      <w:r>
        <w:t>1. Spread children in a safe open space.</w:t>
      </w:r>
    </w:p>
    <w:p>
      <w:pPr>
        <w:ind w:left="288"/>
      </w:pPr>
      <w:r>
        <w:t>2. Teacher shows shiny card — children freeze (stop).</w:t>
      </w:r>
    </w:p>
    <w:p>
      <w:pPr>
        <w:ind w:left="288"/>
      </w:pPr>
      <w:r>
        <w:t>3. Teacher says “Remember Kṛṣṇa” — hand on heart + memory phrase.</w:t>
      </w:r>
    </w:p>
    <w:p>
      <w:pPr>
        <w:ind w:left="288"/>
      </w:pPr>
      <w:r>
        <w:t>4. Teacher shows helping card — children take three gentle steps to the kindness mat and sit.</w:t>
      </w:r>
    </w:p>
    <w:p>
      <w:pPr>
        <w:ind w:left="288"/>
      </w:pPr>
      <w:r>
        <w:t>5. Play three rounds. On round three, children point to helping card on the green choice.</w:t>
      </w:r>
    </w:p>
    <w:p>
      <w:pPr>
        <w:ind w:left="288"/>
      </w:pPr>
      <w:r>
        <w:t>6. End seated; say together: “People are not māyā.”</w:t>
      </w:r>
    </w:p>
    <w:p>
      <w:pPr>
        <w:pStyle w:val="Heading3"/>
      </w:pPr>
      <w:r>
        <w:t>24–32 min — Craft: Decorated cage reminder card (steps)</w:t>
      </w:r>
    </w:p>
    <w:p>
      <w:pPr>
        <w:ind w:left="288"/>
      </w:pPr>
      <w:r>
        <w:t>1. Give each child a folded card with a simple cage outline.</w:t>
      </w:r>
    </w:p>
    <w:p>
      <w:pPr>
        <w:ind w:left="288"/>
      </w:pPr>
      <w:r>
        <w:t>2. Let them add 2–3 “pretty” stickers (decorations).</w:t>
      </w:r>
    </w:p>
    <w:p>
      <w:pPr>
        <w:ind w:left="288"/>
      </w:pPr>
      <w:r>
        <w:t xml:space="preserve">3. Inside, helper writes: </w:t>
      </w:r>
      <w:r>
        <w:rPr>
          <w:b/>
        </w:rPr>
        <w:t>Surrender crosses māyā.</w:t>
      </w:r>
    </w:p>
    <w:p>
      <w:pPr>
        <w:ind w:left="288"/>
      </w:pPr>
      <w:r>
        <w:t>4. On the back, child draws one helping choice.</w:t>
      </w:r>
    </w:p>
    <w:p>
      <w:pPr>
        <w:ind w:left="288"/>
      </w:pPr>
      <w:r>
        <w:t>5. Practice: touch decorations, then open card and say the memory phrase — beauty is not the whole story.</w:t>
      </w:r>
    </w:p>
    <w:p>
      <w:r>
        <w:t xml:space="preserve">Full printable steps also live in </w:t>
      </w:r>
      <w:r>
        <w:rPr>
          <w:rFonts w:ascii="Consolas" w:hAnsi="Consolas"/>
          <w:color w:val="7A263A"/>
          <w:sz w:val="18"/>
        </w:rPr>
        <w:t>activities/YOUNGER-ACTIVITY-PACK.md</w:t>
      </w:r>
      <w:r>
        <w:t xml:space="preserve"> (use together; this guide remains executable if the pack is missing).</w:t>
      </w:r>
    </w:p>
    <w:p>
      <w:pPr>
        <w:pStyle w:val="Heading3"/>
      </w:pPr>
      <w:r>
        <w:t>32–35 min — Printable / coloring task</w:t>
      </w:r>
    </w:p>
    <w:p>
      <w:r>
        <w:t>If time remains, color the younger line-art sheet if available. If short on time, keep the craft as the take-home.</w:t>
      </w:r>
    </w:p>
    <w:p>
      <w:pPr>
        <w:pStyle w:val="Heading3"/>
      </w:pPr>
      <w:r>
        <w:t>35–38 min — Behavior redirects and quiet reset</w:t>
      </w:r>
    </w:p>
    <w:p>
      <w:r>
        <w:t>Use calm, specific redirects:</w:t>
      </w:r>
    </w:p>
    <w:p>
      <w:pPr>
        <w:pStyle w:val="ListBullet"/>
      </w:pPr>
      <w:r>
        <w:rPr>
          <w:b/>
        </w:rPr>
        <w:t>Feet on floor</w:t>
      </w:r>
      <w:r>
        <w:t xml:space="preserve"> — “Feet visit the mat.”</w:t>
      </w:r>
    </w:p>
    <w:p>
      <w:pPr>
        <w:pStyle w:val="ListBullet"/>
      </w:pPr>
      <w:r>
        <w:rPr>
          <w:b/>
        </w:rPr>
        <w:t>Kind hands</w:t>
      </w:r>
      <w:r>
        <w:t xml:space="preserve"> — “Toys rest; hands help.”</w:t>
      </w:r>
    </w:p>
    <w:p>
      <w:pPr>
        <w:pStyle w:val="ListBullet"/>
      </w:pPr>
      <w:r>
        <w:rPr>
          <w:b/>
        </w:rPr>
        <w:t>Loud shout</w:t>
      </w:r>
      <w:r>
        <w:t xml:space="preserve"> — “Soft voice, please.”</w:t>
      </w:r>
    </w:p>
    <w:p>
      <w:pPr>
        <w:pStyle w:val="ListBullet"/>
      </w:pPr>
      <w:r>
        <w:rPr>
          <w:b/>
        </w:rPr>
        <w:t>Quiet reset</w:t>
      </w:r>
      <w:r>
        <w:t xml:space="preserve"> — “Calm corner with helping card for 60 seconds.”</w:t>
      </w:r>
    </w:p>
    <w:p>
      <w:pPr>
        <w:pStyle w:val="Heading3"/>
      </w:pPr>
      <w:r>
        <w:t>38–40 min — Cleanup and parent handoff</w:t>
      </w:r>
    </w:p>
    <w:p>
      <w:pPr>
        <w:ind w:left="288"/>
      </w:pPr>
      <w:r>
        <w:t>1. Materials away; craft in hand.</w:t>
      </w:r>
    </w:p>
    <w:p>
      <w:pPr>
        <w:ind w:left="288"/>
      </w:pPr>
      <w:r>
        <w:t>2. At reunification, tell parent in one sentence:</w:t>
      </w:r>
    </w:p>
    <w:p>
      <w:pPr>
        <w:pStyle w:val="Quote"/>
      </w:pPr>
      <w:r>
        <w:t>Memory phrase: “Surrender crosses māyā..” Home cue: Use one media or consumption boundary for three days.</w:t>
      </w:r>
    </w:p>
    <w:p>
      <w:pPr>
        <w:ind w:left="288"/>
      </w:pPr>
      <w:r>
        <w:t>1. Do not report private behavior struggles in front of other families.</w:t>
      </w:r>
    </w:p>
    <w:p>
      <w:pPr>
        <w:pStyle w:val="Heading2"/>
      </w:pPr>
      <w:r>
        <w:t>Behavior redirects (quick reference)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Signal</w:t>
            </w:r>
          </w:p>
        </w:tc>
        <w:tc>
          <w:tcPr>
            <w:tcW w:type="dxa" w:w="3312"/>
            <w:shd w:fill="5B1933"/>
            <w:tcMar>
              <w:top w:w="100" w:type="dxa"/>
              <w:start w:w="120" w:type="dxa"/>
              <w:bottom w:w="100" w:type="dxa"/>
              <w:end w:w="120" w:type="dxa"/>
            </w:tcMar>
          </w:tcPr>
          <w:p>
            <w:r>
              <w:rPr>
                <w:b/>
                <w:color w:val="FFFFFF"/>
              </w:rPr>
              <w:t>Teacher line</w:t>
            </w:r>
          </w:p>
        </w:tc>
        <w:tc>
          <w:tcPr>
            <w:tcW w:type="dxa" w:w="3312"/>
            <w:shd w:fill="5B1933"/>
            <w:tcMar>
              <w:top w:w="100" w:type="dxa"/>
              <w:start w:w="120" w:type="dxa"/>
              <w:bottom w:w="100" w:type="dxa"/>
              <w:end w:w="120" w:type="dxa"/>
            </w:tcMar>
          </w:tcPr>
          <w:p>
            <w:r>
              <w:rPr>
                <w:b/>
                <w:color w:val="FFFFFF"/>
              </w:rPr>
              <w:t>Child action</w:t>
            </w:r>
          </w:p>
        </w:tc>
      </w:tr>
      <w:tr>
        <w:tc>
          <w:tcPr>
            <w:tcW w:type="dxa" w:w="3312"/>
            <w:tcMar>
              <w:top w:w="100" w:type="dxa"/>
              <w:start w:w="120" w:type="dxa"/>
              <w:bottom w:w="100" w:type="dxa"/>
              <w:end w:w="120" w:type="dxa"/>
            </w:tcMar>
            <w:vAlign w:val="top"/>
          </w:tcPr>
          <w:p>
            <w:r>
              <w:t>Running</w:t>
            </w:r>
          </w:p>
        </w:tc>
        <w:tc>
          <w:tcPr>
            <w:tcW w:type="dxa" w:w="3312"/>
            <w:tcMar>
              <w:top w:w="100" w:type="dxa"/>
              <w:start w:w="120" w:type="dxa"/>
              <w:bottom w:w="100" w:type="dxa"/>
              <w:end w:w="120" w:type="dxa"/>
            </w:tcMar>
            <w:vAlign w:val="top"/>
          </w:tcPr>
          <w:p>
            <w:r>
              <w:t>Freeze bodies — shiny pause.</w:t>
            </w:r>
          </w:p>
        </w:tc>
        <w:tc>
          <w:tcPr>
            <w:tcW w:type="dxa" w:w="3312"/>
            <w:tcMar>
              <w:top w:w="100" w:type="dxa"/>
              <w:start w:w="120" w:type="dxa"/>
              <w:bottom w:w="100" w:type="dxa"/>
              <w:end w:w="120" w:type="dxa"/>
            </w:tcMar>
            <w:vAlign w:val="top"/>
          </w:tcPr>
          <w:p>
            <w:r>
              <w:t>Freeze, then walk</w:t>
            </w:r>
          </w:p>
        </w:tc>
      </w:tr>
      <w:tr>
        <w:tc>
          <w:tcPr>
            <w:tcW w:type="dxa" w:w="3312"/>
            <w:tcMar>
              <w:top w:w="100" w:type="dxa"/>
              <w:start w:w="120" w:type="dxa"/>
              <w:bottom w:w="100" w:type="dxa"/>
              <w:end w:w="120" w:type="dxa"/>
            </w:tcMar>
            <w:shd w:fill="FFF8E8"/>
            <w:vAlign w:val="top"/>
          </w:tcPr>
          <w:p>
            <w:r>
              <w:t>Snatching</w:t>
            </w:r>
          </w:p>
        </w:tc>
        <w:tc>
          <w:tcPr>
            <w:tcW w:type="dxa" w:w="3312"/>
            <w:tcMar>
              <w:top w:w="100" w:type="dxa"/>
              <w:start w:w="120" w:type="dxa"/>
              <w:bottom w:w="100" w:type="dxa"/>
              <w:end w:w="120" w:type="dxa"/>
            </w:tcMar>
            <w:shd w:fill="FFF8E8"/>
            <w:vAlign w:val="top"/>
          </w:tcPr>
          <w:p>
            <w:r>
              <w:t>Helping hands.</w:t>
            </w:r>
          </w:p>
        </w:tc>
        <w:tc>
          <w:tcPr>
            <w:tcW w:type="dxa" w:w="3312"/>
            <w:tcMar>
              <w:top w:w="100" w:type="dxa"/>
              <w:start w:w="120" w:type="dxa"/>
              <w:bottom w:w="100" w:type="dxa"/>
              <w:end w:w="120" w:type="dxa"/>
            </w:tcMar>
            <w:shd w:fill="FFF8E8"/>
            <w:vAlign w:val="top"/>
          </w:tcPr>
          <w:p>
            <w:r>
              <w:t>Hands to lap</w:t>
            </w:r>
          </w:p>
        </w:tc>
      </w:tr>
      <w:tr>
        <w:tc>
          <w:tcPr>
            <w:tcW w:type="dxa" w:w="3312"/>
            <w:tcMar>
              <w:top w:w="100" w:type="dxa"/>
              <w:start w:w="120" w:type="dxa"/>
              <w:bottom w:w="100" w:type="dxa"/>
              <w:end w:w="120" w:type="dxa"/>
            </w:tcMar>
            <w:vAlign w:val="top"/>
          </w:tcPr>
          <w:p>
            <w:r>
              <w:t>Calling someone māyā</w:t>
            </w:r>
          </w:p>
        </w:tc>
        <w:tc>
          <w:tcPr>
            <w:tcW w:type="dxa" w:w="3312"/>
            <w:tcMar>
              <w:top w:w="100" w:type="dxa"/>
              <w:start w:w="120" w:type="dxa"/>
              <w:bottom w:w="100" w:type="dxa"/>
              <w:end w:w="120" w:type="dxa"/>
            </w:tcMar>
            <w:vAlign w:val="top"/>
          </w:tcPr>
          <w:p>
            <w:r>
              <w:t>People are not māyā.</w:t>
            </w:r>
          </w:p>
        </w:tc>
        <w:tc>
          <w:tcPr>
            <w:tcW w:type="dxa" w:w="3312"/>
            <w:tcMar>
              <w:top w:w="100" w:type="dxa"/>
              <w:start w:w="120" w:type="dxa"/>
              <w:bottom w:w="100" w:type="dxa"/>
              <w:end w:w="120" w:type="dxa"/>
            </w:tcMar>
            <w:vAlign w:val="top"/>
          </w:tcPr>
          <w:p>
            <w:r>
              <w:t>Repeat correction</w:t>
            </w:r>
          </w:p>
        </w:tc>
      </w:tr>
      <w:tr>
        <w:tc>
          <w:tcPr>
            <w:tcW w:type="dxa" w:w="3312"/>
            <w:tcMar>
              <w:top w:w="100" w:type="dxa"/>
              <w:start w:w="120" w:type="dxa"/>
              <w:bottom w:w="100" w:type="dxa"/>
              <w:end w:w="120" w:type="dxa"/>
            </w:tcMar>
            <w:shd w:fill="FFF8E8"/>
            <w:vAlign w:val="top"/>
          </w:tcPr>
          <w:p>
            <w:r>
              <w:t>Shutdown</w:t>
            </w:r>
          </w:p>
        </w:tc>
        <w:tc>
          <w:tcPr>
            <w:tcW w:type="dxa" w:w="3312"/>
            <w:tcMar>
              <w:top w:w="100" w:type="dxa"/>
              <w:start w:w="120" w:type="dxa"/>
              <w:bottom w:w="100" w:type="dxa"/>
              <w:end w:w="120" w:type="dxa"/>
            </w:tcMar>
            <w:shd w:fill="FFF8E8"/>
            <w:vAlign w:val="top"/>
          </w:tcPr>
          <w:p>
            <w:r>
              <w:t>Quiet reset is okay.</w:t>
            </w:r>
          </w:p>
        </w:tc>
        <w:tc>
          <w:tcPr>
            <w:tcW w:type="dxa" w:w="3312"/>
            <w:tcMar>
              <w:top w:w="100" w:type="dxa"/>
              <w:start w:w="120" w:type="dxa"/>
              <w:bottom w:w="100" w:type="dxa"/>
              <w:end w:w="120" w:type="dxa"/>
            </w:tcMar>
            <w:shd w:fill="FFF8E8"/>
            <w:vAlign w:val="top"/>
          </w:tcPr>
          <w:p>
            <w:r>
              <w:t>Calm corner 60 sec</w:t>
            </w:r>
          </w:p>
        </w:tc>
      </w:tr>
    </w:tbl>
    <w:p>
      <w:pPr>
        <w:spacing w:after="40"/>
      </w:pPr>
    </w:p>
    <w:p>
      <w:pPr>
        <w:pStyle w:val="Heading2"/>
      </w:pPr>
      <w:r>
        <w:t>Backup low-prep (if craft fails or energy crashes)</w:t>
      </w:r>
    </w:p>
    <w:p>
      <w:pPr>
        <w:ind w:left="288"/>
      </w:pPr>
      <w:r>
        <w:t>1. Sit in a circle with soft toss object.</w:t>
      </w:r>
    </w:p>
    <w:p>
      <w:pPr>
        <w:ind w:left="288"/>
      </w:pPr>
      <w:r>
        <w:t>2. Child catches, says “People are not māyā” or one helping choice, tosses to next.</w:t>
      </w:r>
    </w:p>
    <w:p>
      <w:pPr>
        <w:ind w:left="288"/>
      </w:pPr>
      <w:r>
        <w:t>3. End with three echoes of the memory phrase.</w:t>
      </w:r>
    </w:p>
    <w:p>
      <w:pPr>
        <w:pStyle w:val="Heading2"/>
      </w:pPr>
      <w:r>
        <w:t>What success looks like</w:t>
      </w:r>
    </w:p>
    <w:p>
      <w:pPr>
        <w:pStyle w:val="ListBullet"/>
      </w:pPr>
      <w:r>
        <w:t>Child can echo: Surrender crosses māyā.</w:t>
      </w:r>
    </w:p>
    <w:p>
      <w:pPr>
        <w:pStyle w:val="ListBullet"/>
      </w:pPr>
      <w:r>
        <w:t>Child can say: People are not māyā.</w:t>
      </w:r>
    </w:p>
    <w:p>
      <w:pPr>
        <w:pStyle w:val="ListBullet"/>
      </w:pPr>
      <w:r>
        <w:t>Child can name one helping choice when shiny pulls.</w:t>
      </w:r>
    </w:p>
    <w:p>
      <w:pPr>
        <w:pStyle w:val="Heading2"/>
      </w:pPr>
      <w:r>
        <w:t>Boundaries</w:t>
      </w:r>
    </w:p>
    <w:p>
      <w:pPr>
        <w:pStyle w:val="ListBullet"/>
      </w:pPr>
      <w:r>
        <w:t>Snack/water only happens in main schedule (3:30), not as a track bribe.</w:t>
      </w:r>
    </w:p>
    <w:p>
      <w:pPr>
        <w:pStyle w:val="ListBullet"/>
      </w:pPr>
      <w:r>
        <w:t>No weekly meal language.</w:t>
      </w:r>
    </w:p>
    <w:p>
      <w:pPr>
        <w:pStyle w:val="ListBullet"/>
      </w:pPr>
      <w:r>
        <w:t>No fabricated approval stickers implying temple certification.</w:t>
      </w:r>
    </w:p>
    <w:p>
      <w:pPr>
        <w:pStyle w:val="ListBullet"/>
      </w:pPr>
      <w:r>
        <w:t>Privacy: no forced confession.</w:t>
      </w:r>
    </w:p>
    <w:p>
      <w:r>
        <w:br w:type="page"/>
      </w:r>
    </w:p>
    <w:p>
      <w:pPr>
        <w:pStyle w:val="Heading1"/>
      </w:pPr>
      <w:r>
        <w:t>Child House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Y01 — Simple trap/escape path</w:t>
      </w:r>
    </w:p>
    <w:p>
      <w:pPr>
        <w:jc w:val="center"/>
      </w:pPr>
      <w:r>
        <w:t>Follow path: shiny trap → pause → call Kṛṣṇa / kind help.</w:t>
      </w:r>
    </w:p>
    <w:p>
      <w:pPr>
        <w:jc w:val="center"/>
      </w:pPr>
      <w:r>
        <w:drawing>
          <wp:inline xmlns:a="http://schemas.openxmlformats.org/drawingml/2006/main" xmlns:pic="http://schemas.openxmlformats.org/drawingml/2006/picture">
            <wp:extent cx="5029200" cy="2905760"/>
            <wp:docPr id="1" name="Picture 1"/>
            <wp:cNvGraphicFramePr>
              <a:graphicFrameLocks noChangeAspect="1"/>
            </wp:cNvGraphicFramePr>
            <a:graphic>
              <a:graphicData uri="http://schemas.openxmlformats.org/drawingml/2006/picture">
                <pic:pic>
                  <pic:nvPicPr>
                    <pic:cNvPr id="0" name="trap-escape-path.png"/>
                    <pic:cNvPicPr/>
                  </pic:nvPicPr>
                  <pic:blipFill>
                    <a:blip r:embed="rId11"/>
                    <a:stretch>
                      <a:fillRect/>
                    </a:stretch>
                  </pic:blipFill>
                  <pic:spPr>
                    <a:xfrm>
                      <a:off x="0" y="0"/>
                      <a:ext cx="5029200" cy="290576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Shiny toy shout</w:t>
            </w:r>
          </w:p>
        </w:tc>
        <w:tc>
          <w:tcPr>
            <w:tcW w:type="dxa" w:w="4752"/>
            <w:vAlign w:val="center"/>
          </w:tcPr>
          <w:p>
            <w:pPr>
              <w:spacing w:before="280" w:after="280"/>
              <w:jc w:val="center"/>
            </w:pPr>
            <w:r>
              <w:rPr>
                <w:b/>
                <w:color w:val="5B1933"/>
              </w:rPr>
              <w:t>CARD 2</w:t>
              <w:br/>
            </w:r>
            <w:r>
              <w:rPr>
                <w:sz w:val="26"/>
              </w:rPr>
              <w:t>Pause</w:t>
            </w:r>
          </w:p>
        </w:tc>
      </w:tr>
      <w:tr>
        <w:tc>
          <w:tcPr>
            <w:tcW w:type="dxa" w:w="4752"/>
            <w:vAlign w:val="center"/>
          </w:tcPr>
          <w:p>
            <w:pPr>
              <w:spacing w:before="280" w:after="280"/>
              <w:jc w:val="center"/>
            </w:pPr>
            <w:r>
              <w:rPr>
                <w:b/>
                <w:color w:val="5B1933"/>
              </w:rPr>
              <w:t>CARD 3</w:t>
              <w:br/>
            </w:r>
            <w:r>
              <w:rPr>
                <w:sz w:val="26"/>
              </w:rPr>
              <w:t>Ask for help</w:t>
            </w:r>
          </w:p>
        </w:tc>
        <w:tc>
          <w:tcPr>
            <w:tcW w:type="dxa" w:w="4752"/>
            <w:vAlign w:val="center"/>
          </w:tcPr>
          <w:p>
            <w:pPr>
              <w:spacing w:before="280" w:after="280"/>
              <w:jc w:val="center"/>
            </w:pPr>
            <w:r>
              <w:rPr>
                <w:b/>
                <w:color w:val="5B1933"/>
              </w:rPr>
              <w:t>CARD 4</w:t>
              <w:br/>
            </w:r>
            <w:r>
              <w:rPr>
                <w:sz w:val="26"/>
              </w:rPr>
              <w:t>Holy name</w:t>
            </w:r>
          </w:p>
        </w:tc>
      </w:tr>
      <w:tr>
        <w:tc>
          <w:tcPr>
            <w:tcW w:type="dxa" w:w="4752"/>
            <w:vAlign w:val="center"/>
          </w:tcPr>
          <w:p>
            <w:pPr>
              <w:spacing w:before="280" w:after="280"/>
              <w:jc w:val="center"/>
            </w:pPr>
            <w:r>
              <w:rPr>
                <w:b/>
                <w:color w:val="5B1933"/>
              </w:rPr>
              <w:t>CARD 5</w:t>
              <w:br/>
            </w:r>
            <w:r>
              <w:rPr>
                <w:sz w:val="26"/>
              </w:rPr>
              <w:t>Scare story</w:t>
            </w:r>
          </w:p>
        </w:tc>
        <w:tc>
          <w:tcPr>
            <w:tcW w:type="dxa" w:w="4752"/>
            <w:vAlign w:val="center"/>
          </w:tcPr>
          <w:p>
            <w:pPr>
              <w:spacing w:before="280" w:after="280"/>
              <w:jc w:val="center"/>
            </w:pPr>
            <w:r>
              <w:rPr>
                <w:b/>
                <w:color w:val="5B1933"/>
              </w:rPr>
              <w:t>CARD 6</w:t>
              <w:br/>
            </w:r>
            <w:r>
              <w:rPr>
                <w:sz w:val="26"/>
              </w:rPr>
              <w:t>Kind share</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Surrender crosses māyā.</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Age-sensitive; no fear/paranoia; decorating-prison analogy with limits.</w:t>
            </w:r>
          </w:p>
        </w:tc>
      </w:tr>
    </w:tbl>
    <w:p>
      <w:pPr>
        <w:spacing w:after="20"/>
      </w:pPr>
    </w:p>
    <w:p>
      <w:r>
        <w:br w:type="page"/>
      </w:r>
    </w:p>
    <w:p>
      <w:pPr>
        <w:pStyle w:val="Heading1"/>
      </w:pPr>
      <w:r>
        <w:t>Y02 — Shiny vs real matching</w:t>
      </w:r>
    </w:p>
    <w:p>
      <w:pPr>
        <w:jc w:val="center"/>
      </w:pPr>
      <w:r>
        <w:t>Match ads/toys to “looks big” vs “helps love.”</w:t>
      </w:r>
    </w:p>
    <w:p>
      <w:pPr>
        <w:jc w:val="center"/>
      </w:pPr>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illusion-board.png"/>
                    <pic:cNvPicPr/>
                  </pic:nvPicPr>
                  <pic:blipFill>
                    <a:blip r:embed="rId12"/>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Shiny toy shout</w:t>
            </w:r>
          </w:p>
        </w:tc>
        <w:tc>
          <w:tcPr>
            <w:tcW w:type="dxa" w:w="4752"/>
            <w:vAlign w:val="center"/>
          </w:tcPr>
          <w:p>
            <w:pPr>
              <w:spacing w:before="280" w:after="280"/>
              <w:jc w:val="center"/>
            </w:pPr>
            <w:r>
              <w:rPr>
                <w:b/>
                <w:color w:val="5B1933"/>
              </w:rPr>
              <w:t>CARD 2</w:t>
              <w:br/>
            </w:r>
            <w:r>
              <w:rPr>
                <w:sz w:val="26"/>
              </w:rPr>
              <w:t>Pause</w:t>
            </w:r>
          </w:p>
        </w:tc>
      </w:tr>
      <w:tr>
        <w:tc>
          <w:tcPr>
            <w:tcW w:type="dxa" w:w="4752"/>
            <w:vAlign w:val="center"/>
          </w:tcPr>
          <w:p>
            <w:pPr>
              <w:spacing w:before="280" w:after="280"/>
              <w:jc w:val="center"/>
            </w:pPr>
            <w:r>
              <w:rPr>
                <w:b/>
                <w:color w:val="5B1933"/>
              </w:rPr>
              <w:t>CARD 3</w:t>
              <w:br/>
            </w:r>
            <w:r>
              <w:rPr>
                <w:sz w:val="26"/>
              </w:rPr>
              <w:t>Ask for help</w:t>
            </w:r>
          </w:p>
        </w:tc>
        <w:tc>
          <w:tcPr>
            <w:tcW w:type="dxa" w:w="4752"/>
            <w:vAlign w:val="center"/>
          </w:tcPr>
          <w:p>
            <w:pPr>
              <w:spacing w:before="280" w:after="280"/>
              <w:jc w:val="center"/>
            </w:pPr>
            <w:r>
              <w:rPr>
                <w:b/>
                <w:color w:val="5B1933"/>
              </w:rPr>
              <w:t>CARD 4</w:t>
              <w:br/>
            </w:r>
            <w:r>
              <w:rPr>
                <w:sz w:val="26"/>
              </w:rPr>
              <w:t>Holy name</w:t>
            </w:r>
          </w:p>
        </w:tc>
      </w:tr>
      <w:tr>
        <w:tc>
          <w:tcPr>
            <w:tcW w:type="dxa" w:w="4752"/>
            <w:vAlign w:val="center"/>
          </w:tcPr>
          <w:p>
            <w:pPr>
              <w:spacing w:before="280" w:after="280"/>
              <w:jc w:val="center"/>
            </w:pPr>
            <w:r>
              <w:rPr>
                <w:b/>
                <w:color w:val="5B1933"/>
              </w:rPr>
              <w:t>CARD 5</w:t>
              <w:br/>
            </w:r>
            <w:r>
              <w:rPr>
                <w:sz w:val="26"/>
              </w:rPr>
              <w:t>Scare story</w:t>
            </w:r>
          </w:p>
        </w:tc>
        <w:tc>
          <w:tcPr>
            <w:tcW w:type="dxa" w:w="4752"/>
            <w:vAlign w:val="center"/>
          </w:tcPr>
          <w:p>
            <w:pPr>
              <w:spacing w:before="280" w:after="280"/>
              <w:jc w:val="center"/>
            </w:pPr>
            <w:r>
              <w:rPr>
                <w:b/>
                <w:color w:val="5B1933"/>
              </w:rPr>
              <w:t>CARD 6</w:t>
              <w:br/>
            </w:r>
            <w:r>
              <w:rPr>
                <w:sz w:val="26"/>
              </w:rPr>
              <w:t>Kind share</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Surrender crosses māyā.</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Age-sensitive; no fear/paranoia; decorating-prison analogy with limits.</w:t>
            </w:r>
          </w:p>
        </w:tc>
      </w:tr>
    </w:tbl>
    <w:p>
      <w:pPr>
        <w:spacing w:after="20"/>
      </w:pPr>
    </w:p>
    <w:p>
      <w:r>
        <w:br w:type="page"/>
      </w:r>
    </w:p>
    <w:p>
      <w:pPr>
        <w:pStyle w:val="Heading1"/>
      </w:pPr>
      <w:r>
        <w:t>Y03 — Escape lantern craft</w:t>
      </w:r>
    </w:p>
    <w:p>
      <w:pPr>
        <w:jc w:val="center"/>
      </w:pPr>
      <w:r>
        <w:t>Craft a lantern card for holy name / help.</w:t>
      </w:r>
    </w:p>
    <w:p>
      <w:pPr>
        <w:jc w:val="center"/>
      </w:pPr>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escape-lantern.png"/>
                    <pic:cNvPicPr/>
                  </pic:nvPicPr>
                  <pic:blipFill>
                    <a:blip r:embed="rId13"/>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Shiny toy shout</w:t>
            </w:r>
          </w:p>
        </w:tc>
        <w:tc>
          <w:tcPr>
            <w:tcW w:type="dxa" w:w="4752"/>
            <w:vAlign w:val="center"/>
          </w:tcPr>
          <w:p>
            <w:pPr>
              <w:spacing w:before="280" w:after="280"/>
              <w:jc w:val="center"/>
            </w:pPr>
            <w:r>
              <w:rPr>
                <w:b/>
                <w:color w:val="5B1933"/>
              </w:rPr>
              <w:t>CARD 2</w:t>
              <w:br/>
            </w:r>
            <w:r>
              <w:rPr>
                <w:sz w:val="26"/>
              </w:rPr>
              <w:t>Pause</w:t>
            </w:r>
          </w:p>
        </w:tc>
      </w:tr>
      <w:tr>
        <w:tc>
          <w:tcPr>
            <w:tcW w:type="dxa" w:w="4752"/>
            <w:vAlign w:val="center"/>
          </w:tcPr>
          <w:p>
            <w:pPr>
              <w:spacing w:before="280" w:after="280"/>
              <w:jc w:val="center"/>
            </w:pPr>
            <w:r>
              <w:rPr>
                <w:b/>
                <w:color w:val="5B1933"/>
              </w:rPr>
              <w:t>CARD 3</w:t>
              <w:br/>
            </w:r>
            <w:r>
              <w:rPr>
                <w:sz w:val="26"/>
              </w:rPr>
              <w:t>Ask for help</w:t>
            </w:r>
          </w:p>
        </w:tc>
        <w:tc>
          <w:tcPr>
            <w:tcW w:type="dxa" w:w="4752"/>
            <w:vAlign w:val="center"/>
          </w:tcPr>
          <w:p>
            <w:pPr>
              <w:spacing w:before="280" w:after="280"/>
              <w:jc w:val="center"/>
            </w:pPr>
            <w:r>
              <w:rPr>
                <w:b/>
                <w:color w:val="5B1933"/>
              </w:rPr>
              <w:t>CARD 4</w:t>
              <w:br/>
            </w:r>
            <w:r>
              <w:rPr>
                <w:sz w:val="26"/>
              </w:rPr>
              <w:t>Holy name</w:t>
            </w:r>
          </w:p>
        </w:tc>
      </w:tr>
      <w:tr>
        <w:tc>
          <w:tcPr>
            <w:tcW w:type="dxa" w:w="4752"/>
            <w:vAlign w:val="center"/>
          </w:tcPr>
          <w:p>
            <w:pPr>
              <w:spacing w:before="280" w:after="280"/>
              <w:jc w:val="center"/>
            </w:pPr>
            <w:r>
              <w:rPr>
                <w:b/>
                <w:color w:val="5B1933"/>
              </w:rPr>
              <w:t>CARD 5</w:t>
              <w:br/>
            </w:r>
            <w:r>
              <w:rPr>
                <w:sz w:val="26"/>
              </w:rPr>
              <w:t>Scare story</w:t>
            </w:r>
          </w:p>
        </w:tc>
        <w:tc>
          <w:tcPr>
            <w:tcW w:type="dxa" w:w="4752"/>
            <w:vAlign w:val="center"/>
          </w:tcPr>
          <w:p>
            <w:pPr>
              <w:spacing w:before="280" w:after="280"/>
              <w:jc w:val="center"/>
            </w:pPr>
            <w:r>
              <w:rPr>
                <w:b/>
                <w:color w:val="5B1933"/>
              </w:rPr>
              <w:t>CARD 6</w:t>
              <w:br/>
            </w:r>
            <w:r>
              <w:rPr>
                <w:sz w:val="26"/>
              </w:rPr>
              <w:t>Kind share</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Surrender crosses māyā.</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Age-sensitive; no fear/paranoia; decorating-prison analogy with limits.</w:t>
            </w:r>
          </w:p>
        </w:tc>
      </w:tr>
    </w:tbl>
    <w:p>
      <w:pPr>
        <w:spacing w:after="20"/>
      </w:pPr>
    </w:p>
    <w:p>
      <w:r>
        <w:br w:type="page"/>
      </w:r>
    </w:p>
    <w:p>
      <w:pPr>
        <w:pStyle w:val="Heading1"/>
      </w:pPr>
      <w:r>
        <w:t>Y04 — Pause cards</w:t>
      </w:r>
    </w:p>
    <w:p>
      <w:pPr>
        <w:jc w:val="center"/>
      </w:pPr>
      <w:r>
        <w:t>When stuck, point to Pause / Ask / Chant.</w:t>
      </w:r>
    </w:p>
    <w:p>
      <w:pPr>
        <w:jc w:val="center"/>
      </w:pPr>
      <w:r>
        <w:drawing>
          <wp:inline xmlns:a="http://schemas.openxmlformats.org/drawingml/2006/main" xmlns:pic="http://schemas.openxmlformats.org/drawingml/2006/picture">
            <wp:extent cx="5029200" cy="3352800"/>
            <wp:docPr id="4" name="Picture 4"/>
            <wp:cNvGraphicFramePr>
              <a:graphicFrameLocks noChangeAspect="1"/>
            </wp:cNvGraphicFramePr>
            <a:graphic>
              <a:graphicData uri="http://schemas.openxmlformats.org/drawingml/2006/picture">
                <pic:pic>
                  <pic:nvPicPr>
                    <pic:cNvPr id="0" name="memory-mat.png"/>
                    <pic:cNvPicPr/>
                  </pic:nvPicPr>
                  <pic:blipFill>
                    <a:blip r:embed="rId14"/>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Shiny toy shout</w:t>
            </w:r>
          </w:p>
        </w:tc>
        <w:tc>
          <w:tcPr>
            <w:tcW w:type="dxa" w:w="4752"/>
            <w:vAlign w:val="center"/>
          </w:tcPr>
          <w:p>
            <w:pPr>
              <w:spacing w:before="280" w:after="280"/>
              <w:jc w:val="center"/>
            </w:pPr>
            <w:r>
              <w:rPr>
                <w:b/>
                <w:color w:val="5B1933"/>
              </w:rPr>
              <w:t>CARD 2</w:t>
              <w:br/>
            </w:r>
            <w:r>
              <w:rPr>
                <w:sz w:val="26"/>
              </w:rPr>
              <w:t>Pause</w:t>
            </w:r>
          </w:p>
        </w:tc>
      </w:tr>
      <w:tr>
        <w:tc>
          <w:tcPr>
            <w:tcW w:type="dxa" w:w="4752"/>
            <w:vAlign w:val="center"/>
          </w:tcPr>
          <w:p>
            <w:pPr>
              <w:spacing w:before="280" w:after="280"/>
              <w:jc w:val="center"/>
            </w:pPr>
            <w:r>
              <w:rPr>
                <w:b/>
                <w:color w:val="5B1933"/>
              </w:rPr>
              <w:t>CARD 3</w:t>
              <w:br/>
            </w:r>
            <w:r>
              <w:rPr>
                <w:sz w:val="26"/>
              </w:rPr>
              <w:t>Ask for help</w:t>
            </w:r>
          </w:p>
        </w:tc>
        <w:tc>
          <w:tcPr>
            <w:tcW w:type="dxa" w:w="4752"/>
            <w:vAlign w:val="center"/>
          </w:tcPr>
          <w:p>
            <w:pPr>
              <w:spacing w:before="280" w:after="280"/>
              <w:jc w:val="center"/>
            </w:pPr>
            <w:r>
              <w:rPr>
                <w:b/>
                <w:color w:val="5B1933"/>
              </w:rPr>
              <w:t>CARD 4</w:t>
              <w:br/>
            </w:r>
            <w:r>
              <w:rPr>
                <w:sz w:val="26"/>
              </w:rPr>
              <w:t>Holy name</w:t>
            </w:r>
          </w:p>
        </w:tc>
      </w:tr>
      <w:tr>
        <w:tc>
          <w:tcPr>
            <w:tcW w:type="dxa" w:w="4752"/>
            <w:vAlign w:val="center"/>
          </w:tcPr>
          <w:p>
            <w:pPr>
              <w:spacing w:before="280" w:after="280"/>
              <w:jc w:val="center"/>
            </w:pPr>
            <w:r>
              <w:rPr>
                <w:b/>
                <w:color w:val="5B1933"/>
              </w:rPr>
              <w:t>CARD 5</w:t>
              <w:br/>
            </w:r>
            <w:r>
              <w:rPr>
                <w:sz w:val="26"/>
              </w:rPr>
              <w:t>Scare story</w:t>
            </w:r>
          </w:p>
        </w:tc>
        <w:tc>
          <w:tcPr>
            <w:tcW w:type="dxa" w:w="4752"/>
            <w:vAlign w:val="center"/>
          </w:tcPr>
          <w:p>
            <w:pPr>
              <w:spacing w:before="280" w:after="280"/>
              <w:jc w:val="center"/>
            </w:pPr>
            <w:r>
              <w:rPr>
                <w:b/>
                <w:color w:val="5B1933"/>
              </w:rPr>
              <w:t>CARD 6</w:t>
              <w:br/>
            </w:r>
            <w:r>
              <w:rPr>
                <w:sz w:val="26"/>
              </w:rPr>
              <w:t>Kind share</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Surrender crosses māyā.</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Age-sensitive; no fear/paranoia; decorating-prison analogy with limits.</w:t>
            </w:r>
          </w:p>
        </w:tc>
      </w:tr>
    </w:tbl>
    <w:p>
      <w:pPr>
        <w:spacing w:after="20"/>
      </w:pPr>
    </w:p>
    <w:p>
      <w:r>
        <w:br w:type="page"/>
      </w:r>
    </w:p>
    <w:p>
      <w:pPr>
        <w:pStyle w:val="Heading1"/>
      </w:pPr>
      <w:r>
        <w:t>Y05 — Memory phrase mat</w:t>
      </w:r>
    </w:p>
    <w:p>
      <w:pPr>
        <w:jc w:val="center"/>
      </w:pPr>
      <w:r>
        <w:t>Echo: Surrender crosses māyā.</w:t>
      </w:r>
    </w:p>
    <w:p>
      <w:pPr>
        <w:jc w:val="center"/>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memory-mat.png"/>
                    <pic:cNvPicPr/>
                  </pic:nvPicPr>
                  <pic:blipFill>
                    <a:blip r:embed="rId14"/>
                    <a:stretch>
                      <a:fillRect/>
                    </a:stretch>
                  </pic:blipFill>
                  <pic:spPr>
                    <a:xfrm>
                      <a:off x="0" y="0"/>
                      <a:ext cx="5486400" cy="3657600"/>
                    </a:xfrm>
                    <a:prstGeom prst="rect"/>
                  </pic:spPr>
                </pic:pic>
              </a:graphicData>
            </a:graphic>
          </wp:inline>
        </w:drawing>
      </w:r>
    </w:p>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Surrender crosses māyā.</w:t>
            </w:r>
          </w:p>
        </w:tc>
      </w:tr>
    </w:tbl>
    <w:p>
      <w:r>
        <w:t>BG 7.14 · family week</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C2-W5 • V13  |  Younger teacher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