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 •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2026-12-12.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2 review (BG 18.63 center)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Integration Night: Choice, Consequence and the Modes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Memory line:</w:t>
      </w:r>
      <w:r>
        <w:t xml:space="preserve"> Choose with all five lenses.</w:t>
      </w:r>
    </w:p>
    <w:p>
      <w:pPr>
        <w:pStyle w:val="Heading2"/>
      </w:pPr>
      <w:r>
        <w:t>Minimum (before next Saturday)</w:t>
      </w:r>
    </w:p>
    <w:p>
      <w:r>
        <w:t>Memory line once + one family teach-back sentence of cycle 2.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Cycle 2 becomes one family practice: responsible choice, consequence awareness, mode supports — taught back without ranking.</w:t>
      </w:r>
    </w:p>
    <w:p>
      <w:pPr>
        <w:pStyle w:val="Heading2"/>
      </w:pPr>
      <w:r>
        <w:t>Optional conversation cue</w:t>
      </w:r>
    </w:p>
    <w:p>
      <w:r>
        <w:t>Essential question: Can we synthesize choice and modes?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 Utsava — Gītā Jayantī Family Utsava (festival prep; local tithi EXTERNAL_OPEN)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