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Main Facilitator</w:t>
      </w:r>
    </w:p>
    <w:p>
      <w:pPr>
        <w:pStyle w:val="Subtitle"/>
        <w:jc w:val="center"/>
      </w:pPr>
      <w:r>
        <w:t>Speaking map and session leadership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Main Facilitator Guide</w:t>
      </w:r>
    </w:p>
    <w:p>
      <w:pPr>
        <w:pStyle w:val="KUTUMBARights"/>
      </w:pPr>
      <w:r>
        <w:t>Canonical source: 11-weekly-program-library/first-six-months/c3-u3-nityananda-trayodasi-family-utsava/teacher/MAIN-FACILITATOR-GUIDE-V13.md  •  SHA-256: 223234abf270c16751166b4a6c54bc10c62b5301e5317b908d46a9a4167b6d7b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Main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