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11-weekly-program-library/first-six-months/c3-u3-nityananda-trayodasi-family-utsava/teacher/PARENT-GUIDE-V13.md  •  SHA-256: 2476f36f615ba83a854605e0011e9903c4e294d571420b6c07837624001ebef1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judgment blocks mercy: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softer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 optional share.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Source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CC Ādi 5.208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Incarnation of mercy.</w:t>
            </w:r>
          </w:p>
          <w:p>
            <w:pPr>
              <w:pStyle w:val="KUTUMBARights"/>
            </w:pPr>
            <w:r>
              <w:t>Source: https://vedabase.io/en/library/cc/adi/5/208/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Takeaway: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Calendar honesty: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Age-Sensitive Case</w:t>
      </w:r>
    </w:p>
    <w:p>
      <w:pPr>
        <w:jc w:val="center"/>
      </w:pPr>
      <w:r>
        <w:t>Violent dramatization request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goal: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Redirect: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graphic violence; no miracle embellishment.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Who Can We Serve?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Household: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Community: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Temple/service space: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One real act beats many slogans.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