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 •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7.7</w:t>
      </w:r>
    </w:p>
    <w:p>
      <w:r>
        <w:t>Source URL: https://vedabase.io/en/library/bg/7/7/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11-weekly-program-library/first-six-months/c3-w2-who-is-kṛṣṇa-the-supreme-personality-of-godhead/V13-WEEK-START-HERE.md  •  SHA-256: 50f589eb53bc63ca89a816e7c472c2968b511e85a61a782e96e68fd28e105f56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C3-W2 — Who Is Kṛṣṇa? The Supreme Personality of Godhead </w:t>
      </w:r>
      <w:r>
        <w:rPr>
          <w:b/>
        </w:rPr>
        <w:t>Date:</w:t>
      </w:r>
      <w:r>
        <w:t xml:space="preserve"> Saturday 16 Jan 2027 </w:t>
      </w:r>
      <w:r>
        <w:rPr>
          <w:b/>
        </w:rPr>
        <w:t>This is the only C3-W2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Why does śāstra present Kṛṣṇa as supreme — and how do we speak that with reverence, not aggression?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There is no truth superior to Kṛṣṇa; everything rests upon Him — taught from sources with reverence.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Nothing is above Kṛṣṇa.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7.7** — https://vedabase.io/en/library/bg/7/7/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Source identity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Aggressive debate identity; speculative iconography/theology beyond sources.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Authorized sources only; no speculative theology; reverence over aggression.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exports/final/v13/C3/C3-W2/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reverent sentence about Kṛṣṇa from a source.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C3-W3 — Guru, Sādhu and Śāstra.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C3-W2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