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 Parent Track</w:t>
      </w:r>
    </w:p>
    <w:p>
      <w:pPr>
        <w:pStyle w:val="Subtitle"/>
        <w:jc w:val="center"/>
      </w:pPr>
      <w:r>
        <w:t>Facilitator guide and parent printables</w:t>
      </w:r>
    </w:p>
    <w:p>
      <w:pPr>
        <w:spacing w:before="360"/>
        <w:jc w:val="center"/>
      </w:pPr>
      <w:r>
        <w:rPr>
          <w:rFonts w:ascii="Cambria" w:hAnsi="Cambria" w:eastAsia="Cambria" w:cs="Cambria"/>
          <w:b/>
          <w:color w:val="7A263A"/>
          <w:sz w:val="24"/>
        </w:rPr>
        <w:t>C3-W4 • Śrī Caitanya Mahāprabhu and the Holy Name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CC Antya 20.12</w:t>
      </w:r>
    </w:p>
    <w:p>
      <w:r>
        <w:t>Source URL: https://vedabase.io/en/library/cc/antya/20/12/</w:t>
      </w:r>
    </w:p>
    <w:p>
      <w:r>
        <w:br w:type="page"/>
      </w:r>
    </w:p>
    <w:p>
      <w:pPr>
        <w:pStyle w:val="Heading1"/>
      </w:pPr>
      <w:r>
        <w:t>Parent Facilitator Run Sheet</w:t>
      </w:r>
    </w:p>
    <w:p>
      <w:pPr>
        <w:pStyle w:val="KUTUMBARights"/>
      </w:pPr>
      <w:r>
        <w:t>Canonical source: 11-weekly-program-library/first-six-months/c3-w4-śrī-caitanya-mahāprabhu-and-the-holy-name/teacher/PARENT-GUIDE-V13.md  •  SHA-256: 4c464d7fab1bd5ed4a11169bf7aad88412928eb1076d4ad8585f56138f5c8bfc</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0–5 — Private reflection — home name culture</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Attention or performance pressure?</w:t>
      </w:r>
    </w:p>
    <w:p>
      <w:r>
        <w:t>Keep primary mechanic (</w:t>
      </w:r>
      <w:r>
        <w:rPr>
          <w:b/>
        </w:rPr>
        <w:t>Kīrtana etiquette</w:t>
      </w:r>
      <w:r>
        <w:t>). Block: Volume/performance equals devotion; skipping source-language layer of Śikṣāṣṭaka 1.</w:t>
      </w:r>
    </w:p>
    <w:p>
      <w:pPr>
        <w:pStyle w:val="Heading3"/>
      </w:pPr>
      <w:r>
        <w:t>V13 printable block 5–12 — Etiquette card sort</w:t>
      </w:r>
    </w:p>
    <w:p>
      <w:r>
        <w:rPr>
          <w:b/>
        </w:rPr>
        <w:t>Printable:</w:t>
      </w:r>
      <w:r>
        <w:t xml:space="preserve"> </w:t>
      </w:r>
      <w:r>
        <w:rPr>
          <w:rFonts w:ascii="Consolas" w:hAnsi="Consolas"/>
          <w:color w:val="7A263A"/>
          <w:sz w:val="18"/>
        </w:rPr>
        <w:t>activities/v13-parent/P02-ETIQUETTE-CARD-SORT.md</w:t>
      </w:r>
      <w:r>
        <w:t xml:space="preserve"> (</w:t>
      </w:r>
      <w:r>
        <w:rPr>
          <w:rFonts w:ascii="Consolas" w:hAnsi="Consolas"/>
          <w:color w:val="7A263A"/>
          <w:sz w:val="18"/>
        </w:rPr>
        <w:t>P02-ETIQUETTE-CARD-SORT</w:t>
      </w:r>
      <w:r>
        <w:t>)</w:t>
      </w:r>
    </w:p>
    <w:p>
      <w:r>
        <w:t>Sort ATTENTIVE / PERFORMANCE / DISRESPECT.</w:t>
      </w:r>
    </w:p>
    <w:p>
      <w:r>
        <w:t>Keep primary mechanic (</w:t>
      </w:r>
      <w:r>
        <w:rPr>
          <w:b/>
        </w:rPr>
        <w:t>Kīrtana etiquette</w:t>
      </w:r>
      <w:r>
        <w:t>). Block: Volume/performance equals devotion; skipping source-language layer of Śikṣāṣṭaka 1.</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Child is shamed for soft chanting.</w:t>
      </w:r>
    </w:p>
    <w:p>
      <w:r>
        <w:t>Keep primary mechanic (</w:t>
      </w:r>
      <w:r>
        <w:rPr>
          <w:b/>
        </w:rPr>
        <w:t>Kīrtana etiquette</w:t>
      </w:r>
      <w:r>
        <w:t>). Block: Volume/performance equals devotion; skipping source-language layer of Śikṣāṣṭaka 1.</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attentive holy-name slot for seven days.</w:t>
      </w:r>
    </w:p>
    <w:p>
      <w:r>
        <w:t>Keep primary mechanic (</w:t>
      </w:r>
      <w:r>
        <w:rPr>
          <w:b/>
        </w:rPr>
        <w:t>Kīrtana etiquette</w:t>
      </w:r>
      <w:r>
        <w:t>). Block: Volume/performance equals devotion; skipping source-language layer of Śikṣāṣṭaka 1.</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Holy name practice + minimum version.</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Why chant the holy name?</w:t>
      </w:r>
    </w:p>
    <w:p>
      <w:pPr>
        <w:pStyle w:val="Heading2"/>
      </w:pPr>
      <w:r>
        <w:t>Source</w:t>
      </w:r>
    </w:p>
    <w:p>
      <w:r>
        <w:t>CC Antya 20.12 / Śikṣāṣṭaka 1 context — teaching meaning: Chanting the holy name cleanses the mirror of the heart, extinguishes the forest fire of material existence, and spreads the moonlight of auspiciousness — the life of all knowledge.</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home name culture</w:t>
      </w:r>
    </w:p>
    <w:p>
      <w:pPr>
        <w:jc w:val="center"/>
      </w:pPr>
      <w:r>
        <w:t>Attention or performance pressure?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3200400" cy="2133600"/>
                    </a:xfrm>
                    <a:prstGeom prst="rect"/>
                  </pic:spPr>
                </pic:pic>
              </a:graphicData>
            </a:graphic>
          </wp:inline>
        </w:drawing>
      </w:r>
    </w:p>
    <w:p>
      <w:r>
        <w:rPr>
          <w:b/>
        </w:rPr>
        <w:t>Attention or performance pressure?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Etiquette card sort</w:t>
      </w:r>
    </w:p>
    <w:p>
      <w:pPr>
        <w:jc w:val="center"/>
      </w:pPr>
      <w:r>
        <w:t>Sort ATTENTIVE / PERFORMANCE / DISRESPECT.</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Attentive listening</w:t>
            </w:r>
          </w:p>
        </w:tc>
        <w:tc>
          <w:tcPr>
            <w:tcW w:type="dxa" w:w="4752"/>
            <w:vAlign w:val="center"/>
          </w:tcPr>
          <w:p>
            <w:pPr>
              <w:spacing w:before="280" w:after="280"/>
              <w:jc w:val="center"/>
            </w:pPr>
            <w:r>
              <w:rPr>
                <w:b/>
                <w:color w:val="5B1933"/>
              </w:rPr>
              <w:t>L2</w:t>
              <w:br/>
            </w:r>
            <w:r>
              <w:rPr>
                <w:sz w:val="26"/>
              </w:rPr>
              <w:t>Volume contest</w:t>
            </w:r>
          </w:p>
        </w:tc>
      </w:tr>
      <w:tr>
        <w:tc>
          <w:tcPr>
            <w:tcW w:type="dxa" w:w="4752"/>
            <w:vAlign w:val="center"/>
          </w:tcPr>
          <w:p>
            <w:pPr>
              <w:spacing w:before="280" w:after="280"/>
              <w:jc w:val="center"/>
            </w:pPr>
            <w:r>
              <w:rPr>
                <w:b/>
                <w:color w:val="5B1933"/>
              </w:rPr>
              <w:t>L3</w:t>
              <w:br/>
            </w:r>
            <w:r>
              <w:rPr>
                <w:sz w:val="26"/>
              </w:rPr>
              <w:t>Short sincere chant</w:t>
            </w:r>
          </w:p>
        </w:tc>
        <w:tc>
          <w:tcPr>
            <w:tcW w:type="dxa" w:w="4752"/>
            <w:vAlign w:val="center"/>
          </w:tcPr>
          <w:p>
            <w:pPr>
              <w:spacing w:before="280" w:after="280"/>
              <w:jc w:val="center"/>
            </w:pPr>
            <w:r>
              <w:rPr>
                <w:b/>
                <w:color w:val="5B1933"/>
              </w:rPr>
              <w:t>L4</w:t>
              <w:br/>
            </w:r>
            <w:r>
              <w:rPr>
                <w:sz w:val="26"/>
              </w:rPr>
              <w:t>Shame soft voices</w:t>
            </w:r>
          </w:p>
        </w:tc>
      </w:tr>
      <w:tr>
        <w:tc>
          <w:tcPr>
            <w:tcW w:type="dxa" w:w="4752"/>
            <w:vAlign w:val="center"/>
          </w:tcPr>
          <w:p>
            <w:pPr>
              <w:spacing w:before="280" w:after="280"/>
              <w:jc w:val="center"/>
            </w:pPr>
            <w:r>
              <w:rPr>
                <w:b/>
                <w:color w:val="5B1933"/>
              </w:rPr>
              <w:t>L5</w:t>
              <w:br/>
            </w:r>
            <w:r>
              <w:rPr>
                <w:sz w:val="26"/>
              </w:rPr>
              <w:t>Invite newcomers</w:t>
            </w:r>
          </w:p>
        </w:tc>
        <w:tc>
          <w:tcPr>
            <w:tcW w:type="dxa" w:w="4752"/>
            <w:vAlign w:val="center"/>
          </w:tcPr>
          <w:p>
            <w:pPr>
              <w:spacing w:before="280" w:after="280"/>
              <w:jc w:val="center"/>
            </w:pPr>
            <w:r>
              <w:rPr>
                <w:b/>
                <w:color w:val="5B1933"/>
              </w:rPr>
              <w:t>L6</w:t>
              <w:br/>
            </w:r>
            <w:r>
              <w:rPr>
                <w:sz w:val="26"/>
              </w:rPr>
              <w:t>Performance ranking</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Volume/performance equals devotion; skipping source-language layer of Śikṣāṣṭaka 1.</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Child is shamed for soft chanting.</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child chants softly and is shamed: “Louder or you’re not devoted.” Another adult starts a volume contest between siblings.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kirtana-etiquette.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attentive holy-name slot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Holy name practice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V13  |  Parent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