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8E8"/>
  <w:body>
    <w:p>
      <w:pPr>
        <w:spacing w:before="936"/>
        <w:jc w:val="center"/>
      </w:pPr>
      <w:r>
        <w:rPr>
          <w:rFonts w:ascii="Segoe UI" w:hAnsi="Segoe UI" w:eastAsia="Segoe UI" w:cs="Segoe UI"/>
          <w:b/>
          <w:color w:val="E59B24"/>
          <w:sz w:val="36"/>
        </w:rPr>
        <w:t>KUTUMBA</w:t>
      </w:r>
    </w:p>
    <w:tbl>
      <w:tblPr>
        <w:tblW w:type="auto" w:w="0"/>
        <w:jc w:val="center"/>
        <w:tblLayout w:type="fixed"/>
        <w:tblLook w:firstColumn="1" w:firstRow="1" w:lastColumn="0" w:lastRow="0" w:noHBand="0" w:noVBand="1" w:val="04A0"/>
      </w:tblPr>
      <w:tblGrid>
        <w:gridCol w:w="2880"/>
      </w:tblGrid>
      <w:tr>
        <w:tc>
          <w:tcPr>
            <w:tcW w:type="dxa" w:w="9936"/>
            <w:shd w:fill="5B1933"/>
          </w:tcPr>
          <w:p>
            <w:r/>
          </w:p>
        </w:tc>
      </w:tr>
    </w:tbl>
    <w:p>
      <w:pPr>
        <w:pStyle w:val="Title"/>
        <w:spacing w:before="792"/>
        <w:jc w:val="center"/>
      </w:pPr>
      <w:r>
        <w:t>C3-W4 — Younger Teacher Pack</w:t>
      </w:r>
    </w:p>
    <w:p>
      <w:pPr>
        <w:pStyle w:val="Subtitle"/>
        <w:jc w:val="center"/>
      </w:pPr>
      <w:r>
        <w:t>K–2 run sheet and activities</w:t>
      </w:r>
    </w:p>
    <w:p>
      <w:pPr>
        <w:spacing w:before="360"/>
        <w:jc w:val="center"/>
      </w:pPr>
      <w:r>
        <w:rPr>
          <w:rFonts w:ascii="Cambria" w:hAnsi="Cambria" w:eastAsia="Cambria" w:cs="Cambria"/>
          <w:b/>
          <w:color w:val="7A263A"/>
          <w:sz w:val="24"/>
        </w:rPr>
        <w:t>C3-W4 • Śrī Caitanya Mahāprabhu and the Holy Name</w:t>
      </w:r>
    </w:p>
    <w:tbl>
      <w:tblPr>
        <w:tblW w:type="auto" w:w="0"/>
        <w:jc w:val="center"/>
        <w:tblLayout w:type="fixed"/>
        <w:tblLook w:firstColumn="1" w:firstRow="1" w:lastColumn="0" w:lastRow="0" w:noHBand="0" w:noVBand="1" w:val="04A0"/>
        <w:tblBorders>
          <w:top w:val="single" w:sz="5" w:color="E3CA91"/>
          <w:left w:val="single" w:sz="5" w:color="E3CA91"/>
          <w:bottom w:val="single" w:sz="5" w:color="E3CA91"/>
          <w:right w:val="single" w:sz="5" w:color="E3CA91"/>
          <w:insideH w:val="single" w:sz="5" w:color="E3CA91"/>
          <w:insideV w:val="single" w:sz="5" w:color="E3CA91"/>
        </w:tblBorders>
      </w:tblPr>
      <w:tblGrid>
        <w:gridCol w:w="8352"/>
      </w:tblGrid>
      <w:tr>
        <w:tc>
          <w:tcPr>
            <w:tcW w:type="dxa" w:w="9936"/>
            <w:tcMar>
              <w:top w:w="130" w:type="dxa"/>
              <w:start w:w="180" w:type="dxa"/>
              <w:bottom w:w="130" w:type="dxa"/>
              <w:end w:w="180" w:type="dxa"/>
            </w:tcMar>
            <w:vAlign w:val="center"/>
            <w:shd w:fill="F8E8BF"/>
          </w:tcPr>
          <w:p>
            <w:pPr>
              <w:jc w:val="center"/>
            </w:pPr>
            <w:r>
              <w:rPr>
                <w:b/>
              </w:rPr>
              <w:t>V13  •  Families Growing in Krishna Consciousness</w:t>
              <w:br/>
              <w:t>Program Director: Swapnil Patil</w:t>
            </w:r>
          </w:p>
        </w:tc>
      </w:tr>
      <w:tr>
        <w:tc>
          <w:tcPr>
            <w:tcW w:type="dxa" w:w="9936"/>
            <w:tcMar>
              <w:top w:w="130" w:type="dxa"/>
              <w:start w:w="180" w:type="dxa"/>
              <w:bottom w:w="130" w:type="dxa"/>
              <w:end w:w="180" w:type="dxa"/>
            </w:tcMar>
            <w:vAlign w:val="center"/>
            <w:shd w:fill="E4F0ED"/>
          </w:tcPr>
          <w:p>
            <w:pPr>
              <w:jc w:val="center"/>
            </w:pPr>
            <w:r>
              <w:rPr>
                <w:i/>
                <w:color w:val="5B1933"/>
              </w:rPr>
              <w:t>Internal founding-cohort teaching material — human/temple review EXTERNAL_OPEN</w:t>
            </w:r>
          </w:p>
        </w:tc>
      </w:tr>
    </w:tbl>
    <w:p>
      <w:pPr>
        <w:spacing w:before="1440"/>
        <w:jc w:val="center"/>
      </w:pPr>
      <w:r>
        <w:rPr>
          <w:rFonts w:ascii="Segoe UI" w:hAnsi="Segoe UI" w:eastAsia="Segoe UI" w:cs="Segoe UI"/>
          <w:color w:val="4F7C78"/>
          <w:sz w:val="18"/>
        </w:rPr>
        <w:t>KUTUMBA  |  Families Growing in Krishna Consciousness</w:t>
      </w:r>
    </w:p>
    <w:p>
      <w:r>
        <w:br w:type="page"/>
      </w:r>
    </w:p>
    <w:p>
      <w:pPr>
        <w:pStyle w:val="Heading1"/>
      </w:pPr>
      <w:r>
        <w:t>Locked Saturday Schedule</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Time</w:t>
            </w:r>
          </w:p>
        </w:tc>
        <w:tc>
          <w:tcPr>
            <w:tcW w:type="dxa" w:w="4968"/>
            <w:shd w:fill="5B1933"/>
            <w:tcMar>
              <w:top w:w="100" w:type="dxa"/>
              <w:start w:w="120" w:type="dxa"/>
              <w:bottom w:w="100" w:type="dxa"/>
              <w:end w:w="120" w:type="dxa"/>
            </w:tcMar>
          </w:tcPr>
          <w:p>
            <w:r>
              <w:rPr>
                <w:b/>
                <w:color w:val="FFFFFF"/>
              </w:rPr>
              <w:t>Block</w:t>
            </w:r>
          </w:p>
        </w:tc>
      </w:tr>
      <w:tr>
        <w:tc>
          <w:tcPr>
            <w:tcW w:type="dxa" w:w="4968"/>
            <w:tcMar>
              <w:top w:w="100" w:type="dxa"/>
              <w:start w:w="120" w:type="dxa"/>
              <w:bottom w:w="100" w:type="dxa"/>
              <w:end w:w="120" w:type="dxa"/>
            </w:tcMar>
            <w:vAlign w:val="top"/>
          </w:tcPr>
          <w:p>
            <w:r>
              <w:t>1:50–2:00</w:t>
            </w:r>
          </w:p>
        </w:tc>
        <w:tc>
          <w:tcPr>
            <w:tcW w:type="dxa" w:w="4968"/>
            <w:tcMar>
              <w:top w:w="100" w:type="dxa"/>
              <w:start w:w="120" w:type="dxa"/>
              <w:bottom w:w="100" w:type="dxa"/>
              <w:end w:w="120" w:type="dxa"/>
            </w:tcMar>
            <w:vAlign w:val="top"/>
          </w:tcPr>
          <w:p>
            <w:r>
              <w:t>Arrival</w:t>
            </w:r>
          </w:p>
        </w:tc>
      </w:tr>
      <w:tr>
        <w:tc>
          <w:tcPr>
            <w:tcW w:type="dxa" w:w="4968"/>
            <w:tcMar>
              <w:top w:w="100" w:type="dxa"/>
              <w:start w:w="120" w:type="dxa"/>
              <w:bottom w:w="100" w:type="dxa"/>
              <w:end w:w="120" w:type="dxa"/>
            </w:tcMar>
            <w:shd w:fill="FFF8E8"/>
            <w:vAlign w:val="top"/>
          </w:tcPr>
          <w:p>
            <w:r>
              <w:t>2:00–2:10</w:t>
            </w:r>
          </w:p>
        </w:tc>
        <w:tc>
          <w:tcPr>
            <w:tcW w:type="dxa" w:w="4968"/>
            <w:tcMar>
              <w:top w:w="100" w:type="dxa"/>
              <w:start w:w="120" w:type="dxa"/>
              <w:bottom w:w="100" w:type="dxa"/>
              <w:end w:w="120" w:type="dxa"/>
            </w:tcMar>
            <w:shd w:fill="FFF8E8"/>
            <w:vAlign w:val="top"/>
          </w:tcPr>
          <w:p>
            <w:r>
              <w:t>Opening mantras + welcome</w:t>
            </w:r>
          </w:p>
        </w:tc>
      </w:tr>
      <w:tr>
        <w:tc>
          <w:tcPr>
            <w:tcW w:type="dxa" w:w="4968"/>
            <w:tcMar>
              <w:top w:w="100" w:type="dxa"/>
              <w:start w:w="120" w:type="dxa"/>
              <w:bottom w:w="100" w:type="dxa"/>
              <w:end w:w="120" w:type="dxa"/>
            </w:tcMar>
            <w:vAlign w:val="top"/>
          </w:tcPr>
          <w:p>
            <w:r>
              <w:t>2:10–2:30</w:t>
            </w:r>
          </w:p>
        </w:tc>
        <w:tc>
          <w:tcPr>
            <w:tcW w:type="dxa" w:w="4968"/>
            <w:tcMar>
              <w:top w:w="100" w:type="dxa"/>
              <w:start w:w="120" w:type="dxa"/>
              <w:bottom w:w="100" w:type="dxa"/>
              <w:end w:w="120" w:type="dxa"/>
            </w:tcMar>
            <w:vAlign w:val="top"/>
          </w:tcPr>
          <w:p>
            <w:r>
              <w:t>All-family launch/orientation</w:t>
            </w:r>
          </w:p>
        </w:tc>
      </w:tr>
      <w:tr>
        <w:tc>
          <w:tcPr>
            <w:tcW w:type="dxa" w:w="4968"/>
            <w:tcMar>
              <w:top w:w="100" w:type="dxa"/>
              <w:start w:w="120" w:type="dxa"/>
              <w:bottom w:w="100" w:type="dxa"/>
              <w:end w:w="120" w:type="dxa"/>
            </w:tcMar>
            <w:shd w:fill="FFF8E8"/>
            <w:vAlign w:val="top"/>
          </w:tcPr>
          <w:p>
            <w:r>
              <w:t>2:30–3:10</w:t>
            </w:r>
          </w:p>
        </w:tc>
        <w:tc>
          <w:tcPr>
            <w:tcW w:type="dxa" w:w="4968"/>
            <w:tcMar>
              <w:top w:w="100" w:type="dxa"/>
              <w:start w:w="120" w:type="dxa"/>
              <w:bottom w:w="100" w:type="dxa"/>
              <w:end w:w="120" w:type="dxa"/>
            </w:tcMar>
            <w:shd w:fill="FFF8E8"/>
            <w:vAlign w:val="top"/>
          </w:tcPr>
          <w:p>
            <w:r>
              <w:t>Parallel tracks</w:t>
            </w:r>
          </w:p>
        </w:tc>
      </w:tr>
      <w:tr>
        <w:tc>
          <w:tcPr>
            <w:tcW w:type="dxa" w:w="4968"/>
            <w:tcMar>
              <w:top w:w="100" w:type="dxa"/>
              <w:start w:w="120" w:type="dxa"/>
              <w:bottom w:w="100" w:type="dxa"/>
              <w:end w:w="120" w:type="dxa"/>
            </w:tcMar>
            <w:vAlign w:val="top"/>
          </w:tcPr>
          <w:p>
            <w:r>
              <w:t>3:10–3:30</w:t>
            </w:r>
          </w:p>
        </w:tc>
        <w:tc>
          <w:tcPr>
            <w:tcW w:type="dxa" w:w="4968"/>
            <w:tcMar>
              <w:top w:w="100" w:type="dxa"/>
              <w:start w:w="120" w:type="dxa"/>
              <w:bottom w:w="100" w:type="dxa"/>
              <w:end w:w="120" w:type="dxa"/>
            </w:tcMar>
            <w:vAlign w:val="top"/>
          </w:tcPr>
          <w:p>
            <w:r>
              <w:t>Reunification + bhakti laboratory</w:t>
            </w:r>
          </w:p>
        </w:tc>
      </w:tr>
      <w:tr>
        <w:tc>
          <w:tcPr>
            <w:tcW w:type="dxa" w:w="4968"/>
            <w:tcMar>
              <w:top w:w="100" w:type="dxa"/>
              <w:start w:w="120" w:type="dxa"/>
              <w:bottom w:w="100" w:type="dxa"/>
              <w:end w:w="120" w:type="dxa"/>
            </w:tcMar>
            <w:shd w:fill="FFF8E8"/>
            <w:vAlign w:val="top"/>
          </w:tcPr>
          <w:p>
            <w:r>
              <w:t>3:30–3:40</w:t>
            </w:r>
          </w:p>
        </w:tc>
        <w:tc>
          <w:tcPr>
            <w:tcW w:type="dxa" w:w="4968"/>
            <w:tcMar>
              <w:top w:w="100" w:type="dxa"/>
              <w:start w:w="120" w:type="dxa"/>
              <w:bottom w:w="100" w:type="dxa"/>
              <w:end w:w="120" w:type="dxa"/>
            </w:tcMar>
            <w:shd w:fill="FFF8E8"/>
            <w:vAlign w:val="top"/>
          </w:tcPr>
          <w:p>
            <w:r>
              <w:t>Snack + water</w:t>
            </w:r>
          </w:p>
        </w:tc>
      </w:tr>
      <w:tr>
        <w:tc>
          <w:tcPr>
            <w:tcW w:type="dxa" w:w="4968"/>
            <w:tcMar>
              <w:top w:w="100" w:type="dxa"/>
              <w:start w:w="120" w:type="dxa"/>
              <w:bottom w:w="100" w:type="dxa"/>
              <w:end w:w="120" w:type="dxa"/>
            </w:tcMar>
            <w:vAlign w:val="top"/>
          </w:tcPr>
          <w:p>
            <w:r>
              <w:t>3:40–3:55</w:t>
            </w:r>
          </w:p>
        </w:tc>
        <w:tc>
          <w:tcPr>
            <w:tcW w:type="dxa" w:w="4968"/>
            <w:tcMar>
              <w:top w:w="100" w:type="dxa"/>
              <w:start w:w="120" w:type="dxa"/>
              <w:bottom w:w="100" w:type="dxa"/>
              <w:end w:w="120" w:type="dxa"/>
            </w:tcMar>
            <w:vAlign w:val="top"/>
          </w:tcPr>
          <w:p>
            <w:r>
              <w:t>Saṅkalpa + project + home practice</w:t>
            </w:r>
          </w:p>
        </w:tc>
      </w:tr>
      <w:tr>
        <w:tc>
          <w:tcPr>
            <w:tcW w:type="dxa" w:w="4968"/>
            <w:tcMar>
              <w:top w:w="100" w:type="dxa"/>
              <w:start w:w="120" w:type="dxa"/>
              <w:bottom w:w="100" w:type="dxa"/>
              <w:end w:w="120" w:type="dxa"/>
            </w:tcMar>
            <w:shd w:fill="FFF8E8"/>
            <w:vAlign w:val="top"/>
          </w:tcPr>
          <w:p>
            <w:r>
              <w:t>3:55–4:00</w:t>
            </w:r>
          </w:p>
        </w:tc>
        <w:tc>
          <w:tcPr>
            <w:tcW w:type="dxa" w:w="4968"/>
            <w:tcMar>
              <w:top w:w="100" w:type="dxa"/>
              <w:start w:w="120" w:type="dxa"/>
              <w:bottom w:w="100" w:type="dxa"/>
              <w:end w:w="120" w:type="dxa"/>
            </w:tcMar>
            <w:shd w:fill="FFF8E8"/>
            <w:vAlign w:val="top"/>
          </w:tcPr>
          <w:p>
            <w:r>
              <w:t>Close</w:t>
            </w:r>
          </w:p>
        </w:tc>
      </w:tr>
    </w:tbl>
    <w:p>
      <w:pPr>
        <w:spacing w:after="40"/>
      </w:pPr>
    </w:p>
    <w:tbl>
      <w:tblPr>
        <w:tblW w:type="auto" w:w="0"/>
        <w:jc w:val="center"/>
        <w:tblLayout w:type="fixed"/>
        <w:tblLook w:firstColumn="1" w:firstRow="1" w:lastColumn="0" w:lastRow="0" w:noHBand="0" w:noVBand="1" w:val="04A0"/>
        <w:tblBorders>
          <w:top w:val="single" w:sz="8" w:color="4F7C78"/>
          <w:left w:val="single" w:sz="8" w:color="4F7C78"/>
          <w:bottom w:val="single" w:sz="8" w:color="4F7C78"/>
          <w:right w:val="single" w:sz="8" w:color="4F7C78"/>
          <w:insideH w:val="single" w:sz="8" w:color="4F7C78"/>
          <w:insideV w:val="single" w:sz="8" w:color="4F7C78"/>
        </w:tblBorders>
      </w:tblPr>
      <w:tblGrid>
        <w:gridCol w:w="1944"/>
        <w:gridCol w:w="8136"/>
      </w:tblGrid>
      <w:tr>
        <w:tc>
          <w:tcPr>
            <w:tcW w:type="dxa" w:w="4968"/>
            <w:shd w:fill="4F7C78"/>
            <w:tcMar>
              <w:top w:w="130" w:type="dxa"/>
              <w:start w:w="140" w:type="dxa"/>
              <w:bottom w:w="130" w:type="dxa"/>
              <w:end w:w="140" w:type="dxa"/>
            </w:tcMar>
            <w:vAlign w:val="center"/>
          </w:tcPr>
          <w:p>
            <w:pPr>
              <w:pStyle w:val="KUTUMBACalloutLabel"/>
              <w:jc w:val="center"/>
            </w:pPr>
            <w:r>
              <w:t>TIME CUE</w:t>
            </w:r>
          </w:p>
        </w:tc>
        <w:tc>
          <w:tcPr>
            <w:tcW w:type="dxa" w:w="4968"/>
            <w:shd w:fill="EFF0F1"/>
            <w:tcMar>
              <w:top w:w="130" w:type="dxa"/>
              <w:start w:w="140" w:type="dxa"/>
              <w:bottom w:w="130" w:type="dxa"/>
              <w:end w:w="140" w:type="dxa"/>
            </w:tcMar>
            <w:vAlign w:val="center"/>
          </w:tcPr>
          <w:p>
            <w:pPr>
              <w:pStyle w:val="KUTUMBACalloutBody"/>
            </w:pPr>
            <w:r>
              <w:t>Track handoff is at 2:30; all groups reunite at 3:10.</w:t>
            </w:r>
          </w:p>
        </w:tc>
      </w:tr>
    </w:tbl>
    <w:p>
      <w:pPr>
        <w:spacing w:after="20"/>
      </w:pPr>
    </w:p>
    <w:p>
      <w:r>
        <w:t>Primary verse: CC Antya 20.12</w:t>
      </w:r>
    </w:p>
    <w:p>
      <w:r>
        <w:t>Source URL: https://vedabase.io/en/library/cc/antya/20/12/</w:t>
      </w:r>
    </w:p>
    <w:p>
      <w:r>
        <w:br w:type="page"/>
      </w:r>
    </w:p>
    <w:p>
      <w:pPr>
        <w:pStyle w:val="Heading1"/>
      </w:pPr>
      <w:r>
        <w:t>Younger Teacher Run Sheet</w:t>
      </w:r>
    </w:p>
    <w:p>
      <w:pPr>
        <w:pStyle w:val="KUTUMBARights"/>
      </w:pPr>
      <w:r>
        <w:t>Canonical source: 11-weekly-program-library/first-six-months/c3-w4-śrī-caitanya-mahāprabhu-and-the-holy-name/teacher/YOUNGER-TEACHER-GUIDE-V13.md  •  SHA-256: fd2b45d79d49820a36add87e911029fc9a92e1fea78b8b142099239f2d019c21</w:t>
      </w:r>
    </w:p>
    <w:p>
      <w:r>
        <w:rPr>
          <w:b/>
        </w:rPr>
        <w:t>KUTUMBA · Families Growing in Krishna Consciousness</w:t>
      </w:r>
      <w:r>
        <w:t xml:space="preserve"> </w:t>
      </w:r>
      <w:r>
        <w:rPr>
          <w:b/>
        </w:rPr>
        <w:t>Program Director: Swapnil Patil</w:t>
      </w:r>
      <w:r>
        <w:t xml:space="preserve"> </w:t>
      </w:r>
      <w:r>
        <w:rPr>
          <w:b/>
        </w:rPr>
        <w:t>Week:</w:t>
      </w:r>
      <w:r>
        <w:t xml:space="preserve"> Śrī Caitanya Mahāprabhu and the Holy Name · </w:t>
      </w:r>
      <w:r>
        <w:rPr>
          <w:b/>
        </w:rPr>
        <w:t>Date:</w:t>
      </w:r>
      <w:r>
        <w:t xml:space="preserve"> 2027-01-30 </w:t>
      </w:r>
      <w:r>
        <w:rPr>
          <w:b/>
        </w:rPr>
        <w:t>Track window:</w:t>
      </w:r>
      <w:r>
        <w:t xml:space="preserve"> Saturday </w:t>
      </w:r>
      <w:r>
        <w:rPr>
          <w:b/>
        </w:rPr>
        <w:t>2:30–3:10</w:t>
      </w:r>
      <w:r>
        <w:t xml:space="preserve"> (K–2) </w:t>
      </w:r>
      <w:r>
        <w:rPr>
          <w:b/>
        </w:rPr>
        <w:t>Reunite:</w:t>
      </w:r>
      <w:r>
        <w:t xml:space="preserve"> </w:t>
      </w:r>
      <w:r>
        <w:rPr>
          <w:b/>
        </w:rPr>
        <w:t>3:10</w:t>
      </w:r>
      <w:r>
        <w:t xml:space="preserve"> for bhakti laboratory </w:t>
      </w:r>
      <w:r>
        <w:rPr>
          <w:b/>
        </w:rPr>
        <w:t>Primary:</w:t>
      </w:r>
      <w:r>
        <w:t xml:space="preserve"> CC Antya 20.12 — https://vedabase.io/en/library/cc/antya/20/12/ </w:t>
      </w:r>
      <w:r>
        <w:rPr>
          <w:b/>
        </w:rPr>
        <w:t>Primary mechanic:</w:t>
      </w:r>
      <w:r>
        <w:t xml:space="preserve"> Kīrtana etiquette </w:t>
      </w:r>
      <w:r>
        <w:rPr>
          <w:b/>
        </w:rPr>
        <w:t>Status:</w:t>
      </w:r>
      <w:r>
        <w:t xml:space="preserve"> Internal founding-cohort teaching material — human/temple review EXTERNAL_OPEN</w:t>
      </w:r>
    </w:p>
    <w:p>
      <w:pPr>
        <w:pStyle w:val="Heading2"/>
      </w:pPr>
      <w:r>
        <w:t>Essential question</w:t>
      </w:r>
    </w:p>
    <w:p>
      <w:r>
        <w:t>What is śrī-kṛṣṇa-saṅkīrtanam — and how do families practice it with attention, not performance pressure?</w:t>
      </w:r>
    </w:p>
    <w:p>
      <w:pPr>
        <w:pStyle w:val="Heading2"/>
      </w:pPr>
      <w:r>
        <w:t>Materials (print before Saturday)</w:t>
      </w:r>
    </w:p>
    <w:p>
      <w:r>
        <w:t xml:space="preserve">From </w:t>
      </w:r>
      <w:r>
        <w:rPr>
          <w:rFonts w:ascii="Consolas" w:hAnsi="Consolas"/>
          <w:color w:val="7A263A"/>
          <w:sz w:val="18"/>
        </w:rPr>
        <w:t>activities/v13-younger/</w:t>
      </w:r>
      <w:r>
        <w:t xml:space="preserve">: </w:t>
      </w:r>
      <w:r>
        <w:rPr>
          <w:b/>
        </w:rPr>
        <w:t>Y01–Y05</w:t>
      </w:r>
      <w:r>
        <w:t xml:space="preserve"> Also pens/crayons; verse card; privacy reminder.</w:t>
      </w:r>
    </w:p>
    <w:p>
      <w:pPr>
        <w:pStyle w:val="Heading2"/>
      </w:pPr>
      <w:r>
        <w:t>Locked Saturday context</w:t>
      </w:r>
    </w:p>
    <w:p>
      <w:pPr>
        <w:pStyle w:val="ListBullet"/>
      </w:pPr>
      <w:r>
        <w:t>1:50–2:00 Arrival · 2:00–2:10 Mantras · 2:10–2:30 All-family launch</w:t>
      </w:r>
    </w:p>
    <w:p>
      <w:pPr>
        <w:pStyle w:val="ListBullet"/>
      </w:pPr>
      <w:r>
        <w:rPr>
          <w:b/>
        </w:rPr>
        <w:t>2:30–3:10 This track</w:t>
      </w:r>
      <w:r>
        <w:t xml:space="preserve"> · 3:10–3:30 Reunify · 3:30–3:40 Snack/water · 3:40–3:55 Saṅkalpa · 3:55–4:00 Close</w:t>
      </w:r>
    </w:p>
    <w:p>
      <w:r>
        <w:t>Parents remain onsite. No public ranking. No forced disclosure.</w:t>
      </w:r>
    </w:p>
    <w:p>
      <w:pPr>
        <w:pStyle w:val="Heading2"/>
      </w:pPr>
      <w:r>
        <w:t>Source layer (use mid-track)</w:t>
      </w:r>
    </w:p>
    <w:p>
      <w:r>
        <w:rPr>
          <w:b/>
        </w:rPr>
        <w:t>Primary:</w:t>
      </w:r>
      <w:r>
        <w:t xml:space="preserve"> CC Antya 20.12 — https://vedabase.io/en/library/cc/antya/20/12/</w:t>
      </w:r>
    </w:p>
    <w:p>
      <w:r>
        <w:rPr>
          <w:b/>
        </w:rPr>
        <w:t>Devanāgarī:</w:t>
      </w:r>
      <w:r>
        <w:t xml:space="preserve"> চেতোদর্পণমার্জনং ভবমহাদাবাগ্নিনির্বাপণং শ্রেয়ঃকৈরবচন্দ্রিকাবিতরণং বিদ্যাবধূজীবনম্ । আনন্দাম্বুধিবর্ধনং প্রতিপদং পূর্ণামৃতাস্বাদনং সর্বাত্মস্নপনং পরং বিজয়তে শ্রীকৃষ্ণসঙ্কীর্তনম্ ॥ ১২ ॥</w:t>
      </w:r>
    </w:p>
    <w:p>
      <w:r>
        <w:rPr>
          <w:b/>
        </w:rPr>
        <w:t>IAST:</w:t>
      </w:r>
      <w:r>
        <w:t xml:space="preserve"> </w:t>
      </w:r>
      <w:r>
        <w:rPr>
          <w:rFonts w:ascii="Consolas" w:hAnsi="Consolas"/>
          <w:color w:val="7A263A"/>
          <w:sz w:val="18"/>
        </w:rPr>
        <w:t>ceto-darpaṇa-mārjanaṁ bhava-mahā-dāvāgni-nirvāpaṇaṁ / śreyaḥ-kairava-candrikā-vitaraṇaṁ vidyā-vadhū-jīvanam / ānandāmbudhi-vardhanaṁ prati-padaṁ pūrṇāmṛtāsvādanaṁ / sarvātma-snapanaṁ paraṁ vijayate śrī-kṛṣṇa-saṅkīrtanam</w:t>
      </w:r>
    </w:p>
    <w:p>
      <w:r>
        <w:rPr>
          <w:b/>
        </w:rPr>
        <w:t>KUTUMBA teaching meaning (not a BBT translation):</w:t>
      </w:r>
      <w:r>
        <w:t xml:space="preserve"> All victory to śrī-kṛṣṇa-saṅkīrtana — which cleanses the mirror of the heart, extinguishes the forest fire of material existence, spreads the moonlight of good fortune, is the life of knowledge, expands the ocean of bliss, enables tasting full nectar at every step, and bathes the self — supreme.</w:t>
      </w:r>
    </w:p>
    <w:p>
      <w:pPr>
        <w:pStyle w:val="Heading2"/>
      </w:pPr>
      <w:r>
        <w:t>Memory line</w:t>
      </w:r>
    </w:p>
    <w:p>
      <w:pPr>
        <w:pStyle w:val="Quote"/>
      </w:pPr>
      <w:r>
        <w:t>Paraṁ vijayate śrī-kṛṣṇa-saṅkīrtanam.</w:t>
      </w:r>
    </w:p>
    <w:p>
      <w:pPr>
        <w:pStyle w:val="Heading2"/>
      </w:pPr>
      <w:r>
        <w:t>V13 printable wiring (Kīrtana etiquette)</w:t>
      </w:r>
    </w:p>
    <w:p>
      <w:pPr>
        <w:pStyle w:val="Heading3"/>
      </w:pPr>
      <w:r>
        <w:t>V13 printable block 0–6 — Name joy movement</w:t>
      </w:r>
    </w:p>
    <w:p>
      <w:r>
        <w:rPr>
          <w:b/>
        </w:rPr>
        <w:t>Printable:</w:t>
      </w:r>
      <w:r>
        <w:t xml:space="preserve"> </w:t>
      </w:r>
      <w:r>
        <w:rPr>
          <w:rFonts w:ascii="Consolas" w:hAnsi="Consolas"/>
          <w:color w:val="7A263A"/>
          <w:sz w:val="18"/>
        </w:rPr>
        <w:t>activities/v13-younger/Y01-NAME-JOY-MOVEMENT.md</w:t>
      </w:r>
      <w:r>
        <w:t xml:space="preserve"> (</w:t>
      </w:r>
      <w:r>
        <w:rPr>
          <w:rFonts w:ascii="Consolas" w:hAnsi="Consolas"/>
          <w:color w:val="7A263A"/>
          <w:sz w:val="18"/>
        </w:rPr>
        <w:t>Y01-NAME-JOY-MOVEMENT</w:t>
      </w:r>
      <w:r>
        <w:t>)</w:t>
      </w:r>
    </w:p>
    <w:p>
      <w:r>
        <w:t>Gentle movement while echoing the holy name — soft voices welcome.</w:t>
      </w:r>
    </w:p>
    <w:p>
      <w:r>
        <w:t>Keep primary mechanic (</w:t>
      </w:r>
      <w:r>
        <w:rPr>
          <w:b/>
        </w:rPr>
        <w:t>Kīrtana etiquette</w:t>
      </w:r>
      <w:r>
        <w:t>). Block: Volume/performance equals devotion; skipping source-language layer of Śikṣāṣṭaka 1.</w:t>
      </w:r>
    </w:p>
    <w:p>
      <w:pPr>
        <w:pStyle w:val="Heading3"/>
      </w:pPr>
      <w:r>
        <w:t>V13 printable block 6–14 — Etiquette matching</w:t>
      </w:r>
    </w:p>
    <w:p>
      <w:r>
        <w:rPr>
          <w:b/>
        </w:rPr>
        <w:t>Printable:</w:t>
      </w:r>
      <w:r>
        <w:t xml:space="preserve"> </w:t>
      </w:r>
      <w:r>
        <w:rPr>
          <w:rFonts w:ascii="Consolas" w:hAnsi="Consolas"/>
          <w:color w:val="7A263A"/>
          <w:sz w:val="18"/>
        </w:rPr>
        <w:t>activities/v13-younger/Y02-ETIQUETTE-MATCHING.md</w:t>
      </w:r>
      <w:r>
        <w:t xml:space="preserve"> (</w:t>
      </w:r>
      <w:r>
        <w:rPr>
          <w:rFonts w:ascii="Consolas" w:hAnsi="Consolas"/>
          <w:color w:val="7A263A"/>
          <w:sz w:val="18"/>
        </w:rPr>
        <w:t>Y02-ETIQUETTE-MATCHING</w:t>
      </w:r>
      <w:r>
        <w:t>)</w:t>
      </w:r>
    </w:p>
    <w:p>
      <w:r>
        <w:t>Match listen / join / don’t mock.</w:t>
      </w:r>
    </w:p>
    <w:p>
      <w:r>
        <w:t>Keep primary mechanic (</w:t>
      </w:r>
      <w:r>
        <w:rPr>
          <w:b/>
        </w:rPr>
        <w:t>Kīrtana etiquette</w:t>
      </w:r>
      <w:r>
        <w:t>). Block: Volume/performance equals devotion; skipping source-language layer of Śikṣāṣṭaka 1.</w:t>
      </w:r>
    </w:p>
    <w:p>
      <w:pPr>
        <w:pStyle w:val="Heading3"/>
      </w:pPr>
      <w:r>
        <w:t>V13 printable block 14–24 — Mirror-heart craft</w:t>
      </w:r>
    </w:p>
    <w:p>
      <w:r>
        <w:rPr>
          <w:b/>
        </w:rPr>
        <w:t>Printable:</w:t>
      </w:r>
      <w:r>
        <w:t xml:space="preserve"> </w:t>
      </w:r>
      <w:r>
        <w:rPr>
          <w:rFonts w:ascii="Consolas" w:hAnsi="Consolas"/>
          <w:color w:val="7A263A"/>
          <w:sz w:val="18"/>
        </w:rPr>
        <w:t>activities/v13-younger/Y03-MIRROR-HEART-CRAFT.md</w:t>
      </w:r>
      <w:r>
        <w:t xml:space="preserve"> (</w:t>
      </w:r>
      <w:r>
        <w:rPr>
          <w:rFonts w:ascii="Consolas" w:hAnsi="Consolas"/>
          <w:color w:val="7A263A"/>
          <w:sz w:val="18"/>
        </w:rPr>
        <w:t>Y03-MIRROR-HEART-CRAFT</w:t>
      </w:r>
      <w:r>
        <w:t>)</w:t>
      </w:r>
    </w:p>
    <w:p>
      <w:r>
        <w:t>Craft “clean the mirror” heart card.</w:t>
      </w:r>
    </w:p>
    <w:p>
      <w:r>
        <w:t>Keep primary mechanic (</w:t>
      </w:r>
      <w:r>
        <w:rPr>
          <w:b/>
        </w:rPr>
        <w:t>Kīrtana etiquette</w:t>
      </w:r>
      <w:r>
        <w:t>). Block: Volume/performance equals devotion; skipping source-language layer of Śikṣāṣṭaka 1.</w:t>
      </w:r>
    </w:p>
    <w:p>
      <w:pPr>
        <w:pStyle w:val="Heading3"/>
      </w:pPr>
      <w:r>
        <w:t>V13 printable block 24–32 — Attention cards</w:t>
      </w:r>
    </w:p>
    <w:p>
      <w:r>
        <w:rPr>
          <w:b/>
        </w:rPr>
        <w:t>Printable:</w:t>
      </w:r>
      <w:r>
        <w:t xml:space="preserve"> </w:t>
      </w:r>
      <w:r>
        <w:rPr>
          <w:rFonts w:ascii="Consolas" w:hAnsi="Consolas"/>
          <w:color w:val="7A263A"/>
          <w:sz w:val="18"/>
        </w:rPr>
        <w:t>activities/v13-younger/Y04-ATTENTION-CARDS.md</w:t>
      </w:r>
      <w:r>
        <w:t xml:space="preserve"> (</w:t>
      </w:r>
      <w:r>
        <w:rPr>
          <w:rFonts w:ascii="Consolas" w:hAnsi="Consolas"/>
          <w:color w:val="7A263A"/>
          <w:sz w:val="18"/>
        </w:rPr>
        <w:t>Y04-ATTENTION-CARDS</w:t>
      </w:r>
      <w:r>
        <w:t>)</w:t>
      </w:r>
    </w:p>
    <w:p>
      <w:r>
        <w:t>Eyes soft / voice kind / no contest.</w:t>
      </w:r>
    </w:p>
    <w:p>
      <w:r>
        <w:t>Keep primary mechanic (</w:t>
      </w:r>
      <w:r>
        <w:rPr>
          <w:b/>
        </w:rPr>
        <w:t>Kīrtana etiquette</w:t>
      </w:r>
      <w:r>
        <w:t>). Block: Volume/performance equals devotion; skipping source-language layer of Śikṣāṣṭaka 1.</w:t>
      </w:r>
    </w:p>
    <w:p>
      <w:pPr>
        <w:pStyle w:val="Heading3"/>
      </w:pPr>
      <w:r>
        <w:t>V13 printable block 32–38 — Memory phrase mat</w:t>
      </w:r>
    </w:p>
    <w:p>
      <w:r>
        <w:rPr>
          <w:b/>
        </w:rPr>
        <w:t>Printable:</w:t>
      </w:r>
      <w:r>
        <w:t xml:space="preserve"> </w:t>
      </w:r>
      <w:r>
        <w:rPr>
          <w:rFonts w:ascii="Consolas" w:hAnsi="Consolas"/>
          <w:color w:val="7A263A"/>
          <w:sz w:val="18"/>
        </w:rPr>
        <w:t>activities/v13-younger/Y05-MEMORY-PHRASE-MAT.md</w:t>
      </w:r>
      <w:r>
        <w:t xml:space="preserve"> (</w:t>
      </w:r>
      <w:r>
        <w:rPr>
          <w:rFonts w:ascii="Consolas" w:hAnsi="Consolas"/>
          <w:color w:val="7A263A"/>
          <w:sz w:val="18"/>
        </w:rPr>
        <w:t>Y05-MEMORY-PHRASE-MAT</w:t>
      </w:r>
      <w:r>
        <w:t>)</w:t>
      </w:r>
    </w:p>
    <w:p>
      <w:r>
        <w:t>Echo the saṅkīrtana memory line.</w:t>
      </w:r>
    </w:p>
    <w:p>
      <w:r>
        <w:t>Keep primary mechanic (</w:t>
      </w:r>
      <w:r>
        <w:rPr>
          <w:b/>
        </w:rPr>
        <w:t>Kīrtana etiquette</w:t>
      </w:r>
      <w:r>
        <w:t>). Block: Volume/performance equals devotion; skipping source-language layer of Śikṣāṣṭaka 1.</w:t>
      </w:r>
    </w:p>
    <w:p>
      <w:pPr>
        <w:pStyle w:val="Heading2"/>
      </w:pPr>
      <w:r>
        <w:t>Close of track (handoff)</w:t>
      </w:r>
    </w:p>
    <w:p>
      <w:r>
        <w:t>Bring one sentence or artifact to reunification. Do not start next week’s topic. Care boundary: No ranking by volume; include full Śikṣāṣṭaka verse-1 source-language layer; invitation not contest.</w:t>
      </w:r>
    </w:p>
    <w:p>
      <w:pPr>
        <w:pStyle w:val="Heading2"/>
      </w:pPr>
      <w:r>
        <w:t xml:space="preserve">Inherited classroom depth (from V12 </w:t>
      </w:r>
      <w:r>
        <w:rPr>
          <w:rFonts w:ascii="Consolas" w:hAnsi="Consolas"/>
          <w:color w:val="7A263A"/>
          <w:sz w:val="18"/>
        </w:rPr>
        <w:t>YOUNGER-TEACHER-GUIDE.md</w:t>
      </w:r>
      <w:r>
        <w:t>)</w:t>
      </w:r>
    </w:p>
    <w:p>
      <w:pPr>
        <w:pStyle w:val="Quote"/>
      </w:pPr>
      <w:r>
        <w:t>Keep story scripts, movement steps, and wonder questions below. Wire printables to the V13 codes above; do not replace this depth with “see research.”</w:t>
      </w:r>
    </w:p>
    <w:p>
      <w:r>
        <w:rPr>
          <w:b/>
        </w:rPr>
        <w:t>Week:</w:t>
      </w:r>
      <w:r>
        <w:t xml:space="preserve"> Śrī Caitanya Mahāprabhu and the Holy Name </w:t>
      </w:r>
      <w:r>
        <w:rPr>
          <w:b/>
        </w:rPr>
        <w:t>Primary:</w:t>
      </w:r>
      <w:r>
        <w:t xml:space="preserve"> CC Antya 20.12 — https://vedabase.io/en/library/cc/antya/20/12/ </w:t>
      </w:r>
      <w:r>
        <w:rPr>
          <w:b/>
        </w:rPr>
        <w:t>Session length:</w:t>
      </w:r>
      <w:r>
        <w:t xml:space="preserve"> 40 minutes (parallel track ~2:30–3:10) </w:t>
      </w:r>
      <w:r>
        <w:rPr>
          <w:b/>
        </w:rPr>
        <w:t>Parents:</w:t>
      </w:r>
      <w:r>
        <w:t xml:space="preserve"> Remain onsite; reunite at 3:10 </w:t>
      </w:r>
      <w:r>
        <w:rPr>
          <w:b/>
        </w:rPr>
        <w:t>Status:</w:t>
      </w:r>
      <w:r>
        <w:t xml:space="preserve"> Internal founding-cohort teaching material — human/temple review EXTERNAL_OPEN</w:t>
      </w:r>
    </w:p>
    <w:p>
      <w:pPr>
        <w:pStyle w:val="Heading2"/>
      </w:pPr>
      <w:r>
        <w:t>Objective</w:t>
      </w:r>
    </w:p>
    <w:p>
      <w:r>
        <w:t>Children echo Paraṁ vijayate śrī-kṛṣṇa-saṅkīrtanam, practice soft call-and-response, and learn we never punish with chanting.</w:t>
      </w:r>
    </w:p>
    <w:p>
      <w:pPr>
        <w:pStyle w:val="Heading2"/>
      </w:pPr>
      <w:r>
        <w:t>Exact memory phrase</w:t>
      </w:r>
    </w:p>
    <w:p>
      <w:pPr>
        <w:pStyle w:val="Quote"/>
      </w:pPr>
      <w:r>
        <w:t>Paraṁ vijayate śrī-kṛṣṇa-saṅkīrtanam.</w:t>
      </w:r>
    </w:p>
    <w:p>
      <w:pPr>
        <w:pStyle w:val="Heading2"/>
      </w:pPr>
      <w:r>
        <w:t>Teacher background (2 minutes to review)</w:t>
      </w:r>
    </w:p>
    <w:p>
      <w:pPr>
        <w:pStyle w:val="ListBullet"/>
      </w:pPr>
      <w:r>
        <w:rPr>
          <w:b/>
        </w:rPr>
        <w:t>KUTUMBA teaching meaning (adult wording):</w:t>
      </w:r>
      <w:r>
        <w:t xml:space="preserve"> All victory to śrī-kṛṣṇa-saṅkīrtana — which cleanses the mirror of the heart, extinguishes the forest fire of material existence, spreads the moonlight of good fortune, is the life of knowledge, expands the ocean of bliss, and bathes the self in nectar at every step.</w:t>
      </w:r>
    </w:p>
    <w:p>
      <w:pPr>
        <w:pStyle w:val="ListBullet"/>
      </w:pPr>
      <w:r>
        <w:rPr>
          <w:b/>
        </w:rPr>
        <w:t>Child-facing paraphrase:</w:t>
      </w:r>
      <w:r>
        <w:t xml:space="preserve"> We sing Kṛṣṇa's names together — śrī-kṛṣṇa-saṅkīrtanam. We listen kindly. We do not use singing to punish.</w:t>
      </w:r>
    </w:p>
    <w:p>
      <w:pPr>
        <w:pStyle w:val="ListBullet"/>
      </w:pPr>
      <w:r>
        <w:rPr>
          <w:b/>
        </w:rPr>
        <w:t>Block misconceptions (child words):</w:t>
      </w:r>
    </w:p>
    <w:p>
      <w:pPr>
        <w:pStyle w:val="ListBullet"/>
      </w:pPr>
      <w:r>
        <w:t>“Chant as punishment.”</w:t>
      </w:r>
    </w:p>
    <w:p>
      <w:pPr>
        <w:pStyle w:val="ListBullet"/>
      </w:pPr>
      <w:r>
        <w:t>“Louder kids win.”</w:t>
      </w:r>
    </w:p>
    <w:p>
      <w:pPr>
        <w:pStyle w:val="ListBullet"/>
      </w:pPr>
      <w:r>
        <w:rPr>
          <w:b/>
        </w:rPr>
        <w:t>Do not:</w:t>
      </w:r>
      <w:r>
        <w:t xml:space="preserve"> invent deity dialogue; force confession; rank children; use scare tactics; claim temple certification stickers.</w:t>
      </w:r>
    </w:p>
    <w:p>
      <w:pPr>
        <w:pStyle w:val="Heading2"/>
      </w:pPr>
      <w:r>
        <w:t>Materials</w:t>
      </w:r>
    </w:p>
    <w:p>
      <w:pPr>
        <w:pStyle w:val="ListBullet"/>
      </w:pPr>
      <w:r>
        <w:t>Soft clap guide</w:t>
      </w:r>
    </w:p>
    <w:p>
      <w:pPr>
        <w:pStyle w:val="ListBullet"/>
      </w:pPr>
      <w:r>
        <w:t>Mirror prop</w:t>
      </w:r>
    </w:p>
    <w:p>
      <w:pPr>
        <w:pStyle w:val="ListBullet"/>
      </w:pPr>
      <w:r>
        <w:t>Phrase poster</w:t>
      </w:r>
    </w:p>
    <w:p>
      <w:pPr>
        <w:pStyle w:val="ListBullet"/>
      </w:pPr>
      <w:r>
        <w:t>Crayons</w:t>
      </w:r>
    </w:p>
    <w:p>
      <w:pPr>
        <w:pStyle w:val="ListBullet"/>
      </w:pPr>
      <w:r>
        <w:t>Soft toss</w:t>
      </w:r>
    </w:p>
    <w:p>
      <w:pPr>
        <w:pStyle w:val="ListBullet"/>
      </w:pPr>
      <w:r>
        <w:t>Calm corner</w:t>
      </w:r>
    </w:p>
    <w:p>
      <w:pPr>
        <w:pStyle w:val="ListBullet"/>
      </w:pPr>
      <w:r>
        <w:t>Simple melody cue</w:t>
      </w:r>
    </w:p>
    <w:p>
      <w:pPr>
        <w:pStyle w:val="Heading2"/>
      </w:pPr>
      <w:r>
        <w:t>Room setup</w:t>
      </w:r>
    </w:p>
    <w:p>
      <w:r>
        <w:t>Circle on the floor; materials table behind you; calm corner with one chair for quiet reset. Keep aisles clear for movement.</w:t>
      </w:r>
    </w:p>
    <w:p>
      <w:pPr>
        <w:pStyle w:val="Heading2"/>
      </w:pPr>
      <w:r>
        <w:t>Minute-by-minute executable plan</w:t>
      </w:r>
    </w:p>
    <w:p>
      <w:pPr>
        <w:pStyle w:val="Heading3"/>
      </w:pPr>
      <w:r>
        <w:t>0–5 min — Opening and recall</w:t>
      </w:r>
    </w:p>
    <w:p>
      <w:pPr>
        <w:ind w:left="288"/>
      </w:pPr>
      <w:r>
        <w:t>1. Welcome.</w:t>
      </w:r>
    </w:p>
    <w:p>
      <w:pPr>
        <w:ind w:left="288"/>
      </w:pPr>
      <w:r>
        <w:t>2. Echo phrase slowly in parts.</w:t>
      </w:r>
    </w:p>
    <w:p>
      <w:pPr>
        <w:ind w:left="288"/>
      </w:pPr>
      <w:r>
        <w:t>3. Soft clap once.</w:t>
      </w:r>
    </w:p>
    <w:p>
      <w:pPr>
        <w:ind w:left="288"/>
      </w:pPr>
      <w:r>
        <w:t>4. Say: “We don’t punish with chanting.”</w:t>
      </w:r>
    </w:p>
    <w:p>
      <w:pPr>
        <w:pStyle w:val="Heading3"/>
      </w:pPr>
      <w:r>
        <w:t>5–13 min — Story script (paraphrase only; ~8 minutes)</w:t>
      </w:r>
    </w:p>
    <w:p>
      <w:r>
        <w:rPr>
          <w:b/>
        </w:rPr>
        <w:t>Say exactly this spine (do not invent deity dialogue):</w:t>
      </w:r>
    </w:p>
    <w:p>
      <w:pPr>
        <w:pStyle w:val="Quote"/>
      </w:pPr>
      <w:r>
        <w:t>Śrī Caitanya Mahāprabhu taught families to chant Kṛṣṇa's holy names together — śrī-kṛṣṇa-saṅkīrtanam. It cleans the heart like wiping a mirror and cools hot worry like water on a fire. We listen carefully. We do not yell to win. We never make someone chant because they are in trouble.</w:t>
      </w:r>
    </w:p>
    <w:p>
      <w:r>
        <w:rPr>
          <w:b/>
        </w:rPr>
        <w:t>Story boundaries:</w:t>
      </w:r>
      <w:r>
        <w:t xml:space="preserve"> No invented Lord Caitanya quotes. No fear. No ranking.</w:t>
      </w:r>
    </w:p>
    <w:p>
      <w:pPr>
        <w:pStyle w:val="Heading3"/>
      </w:pPr>
      <w:r>
        <w:t>13–16 min — Three wonder questions</w:t>
      </w:r>
    </w:p>
    <w:p>
      <w:pPr>
        <w:ind w:left="288"/>
      </w:pPr>
      <w:r>
        <w:t>1. Do we punish with chanting? (No)</w:t>
      </w:r>
    </w:p>
    <w:p>
      <w:pPr>
        <w:ind w:left="288"/>
      </w:pPr>
      <w:r>
        <w:t>2. Do we listen? (Yes)</w:t>
      </w:r>
    </w:p>
    <w:p>
      <w:pPr>
        <w:ind w:left="288"/>
      </w:pPr>
      <w:r>
        <w:t>3. Whose names? (Kṛṣṇa’s)</w:t>
      </w:r>
    </w:p>
    <w:p>
      <w:r>
        <w:t>Accept one- or two-word answers. Affirm effort.</w:t>
      </w:r>
    </w:p>
    <w:p>
      <w:pPr>
        <w:pStyle w:val="Heading3"/>
      </w:pPr>
      <w:r>
        <w:t>16–24 min — Movement game: Soft Echo Circle (steps)</w:t>
      </w:r>
    </w:p>
    <w:p>
      <w:pPr>
        <w:ind w:left="288"/>
      </w:pPr>
      <w:r>
        <w:t>1. Circle; facilitator sings a short line softly.</w:t>
      </w:r>
    </w:p>
    <w:p>
      <w:pPr>
        <w:ind w:left="288"/>
      </w:pPr>
      <w:r>
        <w:t>2. Children echo softly.</w:t>
      </w:r>
    </w:p>
    <w:p>
      <w:pPr>
        <w:ind w:left="288"/>
      </w:pPr>
      <w:r>
        <w:t>3. Hand-to-ear “I heard it.”</w:t>
      </w:r>
    </w:p>
    <w:p>
      <w:pPr>
        <w:ind w:left="288"/>
      </w:pPr>
      <w:r>
        <w:t>4. Two rounds; sit; full phrase once.</w:t>
      </w:r>
    </w:p>
    <w:p>
      <w:pPr>
        <w:pStyle w:val="Heading3"/>
      </w:pPr>
      <w:r>
        <w:t>24–32 min — Craft: Heart-mirror card (steps)</w:t>
      </w:r>
    </w:p>
    <w:p>
      <w:pPr>
        <w:ind w:left="288"/>
      </w:pPr>
      <w:r>
        <w:t>1. Card with mirror circle.</w:t>
      </w:r>
    </w:p>
    <w:p>
      <w:pPr>
        <w:ind w:left="288"/>
      </w:pPr>
      <w:r>
        <w:t>2. Color gently; write phrase helper-assisted.</w:t>
      </w:r>
    </w:p>
    <w:p>
      <w:pPr>
        <w:ind w:left="288"/>
      </w:pPr>
      <w:r>
        <w:t>3. Back: draw family singing softly.</w:t>
      </w:r>
    </w:p>
    <w:p>
      <w:r>
        <w:t xml:space="preserve">Full printable steps also live in </w:t>
      </w:r>
      <w:r>
        <w:rPr>
          <w:rFonts w:ascii="Consolas" w:hAnsi="Consolas"/>
          <w:color w:val="7A263A"/>
          <w:sz w:val="18"/>
        </w:rPr>
        <w:t>activities/YOUNGER-ACTIVITY-PACK.md</w:t>
      </w:r>
      <w:r>
        <w:t xml:space="preserve"> (use together; this guide remains executable if the pack is missing).</w:t>
      </w:r>
    </w:p>
    <w:p>
      <w:pPr>
        <w:pStyle w:val="Heading3"/>
      </w:pPr>
      <w:r>
        <w:t>32–35 min — Printable / coloring task</w:t>
      </w:r>
    </w:p>
    <w:p>
      <w:r>
        <w:t>If time remains, color the younger line-art sheet if available. If short on time, keep the craft as the take-home.</w:t>
      </w:r>
    </w:p>
    <w:p>
      <w:pPr>
        <w:pStyle w:val="Heading3"/>
      </w:pPr>
      <w:r>
        <w:t>35–38 min — Behavior redirects and quiet reset</w:t>
      </w:r>
    </w:p>
    <w:p>
      <w:r>
        <w:t>Use calm, specific redirects:</w:t>
      </w:r>
    </w:p>
    <w:p>
      <w:pPr>
        <w:pStyle w:val="ListBullet"/>
      </w:pPr>
      <w:r>
        <w:rPr>
          <w:b/>
        </w:rPr>
        <w:t>Feet on floor</w:t>
      </w:r>
      <w:r>
        <w:t xml:space="preserve"> — “Feet visit the mat.”</w:t>
      </w:r>
    </w:p>
    <w:p>
      <w:pPr>
        <w:pStyle w:val="ListBullet"/>
      </w:pPr>
      <w:r>
        <w:rPr>
          <w:b/>
        </w:rPr>
        <w:t>Kind hands</w:t>
      </w:r>
      <w:r>
        <w:t xml:space="preserve"> — “Hands help; toys rest.”</w:t>
      </w:r>
    </w:p>
    <w:p>
      <w:pPr>
        <w:pStyle w:val="ListBullet"/>
      </w:pPr>
      <w:r>
        <w:rPr>
          <w:b/>
        </w:rPr>
        <w:t>Loud shout</w:t>
      </w:r>
      <w:r>
        <w:t xml:space="preserve"> — “Soft voice, please.”</w:t>
      </w:r>
    </w:p>
    <w:p>
      <w:pPr>
        <w:pStyle w:val="ListBullet"/>
      </w:pPr>
      <w:r>
        <w:rPr>
          <w:b/>
        </w:rPr>
        <w:t>Quiet reset</w:t>
      </w:r>
      <w:r>
        <w:t xml:space="preserve"> — “Calm corner for sixty seconds.”</w:t>
      </w:r>
    </w:p>
    <w:p>
      <w:pPr>
        <w:pStyle w:val="Heading3"/>
      </w:pPr>
      <w:r>
        <w:t>38–40 min — Cleanup and parent handoff</w:t>
      </w:r>
    </w:p>
    <w:p>
      <w:pPr>
        <w:ind w:left="288"/>
      </w:pPr>
      <w:r>
        <w:t>1. Materials away; craft in hand.</w:t>
      </w:r>
    </w:p>
    <w:p>
      <w:pPr>
        <w:ind w:left="288"/>
      </w:pPr>
      <w:r>
        <w:t>2. At reunification, tell parent in one sentence:</w:t>
      </w:r>
    </w:p>
    <w:p>
      <w:pPr>
        <w:pStyle w:val="Quote"/>
      </w:pPr>
      <w:r>
        <w:t>Memory phrase: “Paraṁ vijayate śrī-kṛṣṇa-saṅkīrtanam..” Home cue: Five-minute family kīrtana or attentive mantra listening on three days.</w:t>
      </w:r>
    </w:p>
    <w:p>
      <w:pPr>
        <w:ind w:left="288"/>
      </w:pPr>
      <w:r>
        <w:t>1. Do not report private behavior struggles in front of other families.</w:t>
      </w:r>
    </w:p>
    <w:p>
      <w:pPr>
        <w:pStyle w:val="Heading2"/>
      </w:pPr>
      <w:r>
        <w:t>Behavior redirects (quick reference)</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3312"/>
        <w:gridCol w:w="3312"/>
        <w:gridCol w:w="3312"/>
      </w:tblGrid>
      <w:tr>
        <w:trPr>
          <w:tblHeader w:val="true"/>
        </w:trPr>
        <w:tc>
          <w:tcPr>
            <w:tcW w:type="dxa" w:w="3312"/>
            <w:shd w:fill="5B1933"/>
            <w:tcMar>
              <w:top w:w="100" w:type="dxa"/>
              <w:start w:w="120" w:type="dxa"/>
              <w:bottom w:w="100" w:type="dxa"/>
              <w:end w:w="120" w:type="dxa"/>
            </w:tcMar>
          </w:tcPr>
          <w:p>
            <w:r>
              <w:rPr>
                <w:b/>
                <w:color w:val="FFFFFF"/>
              </w:rPr>
              <w:t>Signal</w:t>
            </w:r>
          </w:p>
        </w:tc>
        <w:tc>
          <w:tcPr>
            <w:tcW w:type="dxa" w:w="3312"/>
            <w:shd w:fill="5B1933"/>
            <w:tcMar>
              <w:top w:w="100" w:type="dxa"/>
              <w:start w:w="120" w:type="dxa"/>
              <w:bottom w:w="100" w:type="dxa"/>
              <w:end w:w="120" w:type="dxa"/>
            </w:tcMar>
          </w:tcPr>
          <w:p>
            <w:r>
              <w:rPr>
                <w:b/>
                <w:color w:val="FFFFFF"/>
              </w:rPr>
              <w:t>Teacher line</w:t>
            </w:r>
          </w:p>
        </w:tc>
        <w:tc>
          <w:tcPr>
            <w:tcW w:type="dxa" w:w="3312"/>
            <w:shd w:fill="5B1933"/>
            <w:tcMar>
              <w:top w:w="100" w:type="dxa"/>
              <w:start w:w="120" w:type="dxa"/>
              <w:bottom w:w="100" w:type="dxa"/>
              <w:end w:w="120" w:type="dxa"/>
            </w:tcMar>
          </w:tcPr>
          <w:p>
            <w:r>
              <w:rPr>
                <w:b/>
                <w:color w:val="FFFFFF"/>
              </w:rPr>
              <w:t>Child action</w:t>
            </w:r>
          </w:p>
        </w:tc>
      </w:tr>
      <w:tr>
        <w:tc>
          <w:tcPr>
            <w:tcW w:type="dxa" w:w="3312"/>
            <w:tcMar>
              <w:top w:w="100" w:type="dxa"/>
              <w:start w:w="120" w:type="dxa"/>
              <w:bottom w:w="100" w:type="dxa"/>
              <w:end w:w="120" w:type="dxa"/>
            </w:tcMar>
            <w:vAlign w:val="top"/>
          </w:tcPr>
          <w:p>
            <w:r>
              <w:t>Running</w:t>
            </w:r>
          </w:p>
        </w:tc>
        <w:tc>
          <w:tcPr>
            <w:tcW w:type="dxa" w:w="3312"/>
            <w:tcMar>
              <w:top w:w="100" w:type="dxa"/>
              <w:start w:w="120" w:type="dxa"/>
              <w:bottom w:w="100" w:type="dxa"/>
              <w:end w:w="120" w:type="dxa"/>
            </w:tcMar>
            <w:vAlign w:val="top"/>
          </w:tcPr>
          <w:p>
            <w:r>
              <w:t>Walking feet.</w:t>
            </w:r>
          </w:p>
        </w:tc>
        <w:tc>
          <w:tcPr>
            <w:tcW w:type="dxa" w:w="3312"/>
            <w:tcMar>
              <w:top w:w="100" w:type="dxa"/>
              <w:start w:w="120" w:type="dxa"/>
              <w:bottom w:w="100" w:type="dxa"/>
              <w:end w:w="120" w:type="dxa"/>
            </w:tcMar>
            <w:vAlign w:val="top"/>
          </w:tcPr>
          <w:p>
            <w:r>
              <w:t>Walk to mat</w:t>
            </w:r>
          </w:p>
        </w:tc>
      </w:tr>
      <w:tr>
        <w:tc>
          <w:tcPr>
            <w:tcW w:type="dxa" w:w="3312"/>
            <w:tcMar>
              <w:top w:w="100" w:type="dxa"/>
              <w:start w:w="120" w:type="dxa"/>
              <w:bottom w:w="100" w:type="dxa"/>
              <w:end w:w="120" w:type="dxa"/>
            </w:tcMar>
            <w:shd w:fill="FFF8E8"/>
            <w:vAlign w:val="top"/>
          </w:tcPr>
          <w:p>
            <w:r>
              <w:t>Snatching</w:t>
            </w:r>
          </w:p>
        </w:tc>
        <w:tc>
          <w:tcPr>
            <w:tcW w:type="dxa" w:w="3312"/>
            <w:tcMar>
              <w:top w:w="100" w:type="dxa"/>
              <w:start w:w="120" w:type="dxa"/>
              <w:bottom w:w="100" w:type="dxa"/>
              <w:end w:w="120" w:type="dxa"/>
            </w:tcMar>
            <w:shd w:fill="FFF8E8"/>
            <w:vAlign w:val="top"/>
          </w:tcPr>
          <w:p>
            <w:r>
              <w:t>Kind hands.</w:t>
            </w:r>
          </w:p>
        </w:tc>
        <w:tc>
          <w:tcPr>
            <w:tcW w:type="dxa" w:w="3312"/>
            <w:tcMar>
              <w:top w:w="100" w:type="dxa"/>
              <w:start w:w="120" w:type="dxa"/>
              <w:bottom w:w="100" w:type="dxa"/>
              <w:end w:w="120" w:type="dxa"/>
            </w:tcMar>
            <w:shd w:fill="FFF8E8"/>
            <w:vAlign w:val="top"/>
          </w:tcPr>
          <w:p>
            <w:r>
              <w:t>Hands to lap</w:t>
            </w:r>
          </w:p>
        </w:tc>
      </w:tr>
      <w:tr>
        <w:tc>
          <w:tcPr>
            <w:tcW w:type="dxa" w:w="3312"/>
            <w:tcMar>
              <w:top w:w="100" w:type="dxa"/>
              <w:start w:w="120" w:type="dxa"/>
              <w:bottom w:w="100" w:type="dxa"/>
              <w:end w:w="120" w:type="dxa"/>
            </w:tcMar>
            <w:vAlign w:val="top"/>
          </w:tcPr>
          <w:p>
            <w:r>
              <w:t>Interrupt shout</w:t>
            </w:r>
          </w:p>
        </w:tc>
        <w:tc>
          <w:tcPr>
            <w:tcW w:type="dxa" w:w="3312"/>
            <w:tcMar>
              <w:top w:w="100" w:type="dxa"/>
              <w:start w:w="120" w:type="dxa"/>
              <w:bottom w:w="100" w:type="dxa"/>
              <w:end w:w="120" w:type="dxa"/>
            </w:tcMar>
            <w:vAlign w:val="top"/>
          </w:tcPr>
          <w:p>
            <w:r>
              <w:t>Soft voice.</w:t>
            </w:r>
          </w:p>
        </w:tc>
        <w:tc>
          <w:tcPr>
            <w:tcW w:type="dxa" w:w="3312"/>
            <w:tcMar>
              <w:top w:w="100" w:type="dxa"/>
              <w:start w:w="120" w:type="dxa"/>
              <w:bottom w:w="100" w:type="dxa"/>
              <w:end w:w="120" w:type="dxa"/>
            </w:tcMar>
            <w:vAlign w:val="top"/>
          </w:tcPr>
          <w:p>
            <w:r>
              <w:t>Whisper retry</w:t>
            </w:r>
          </w:p>
        </w:tc>
      </w:tr>
      <w:tr>
        <w:tc>
          <w:tcPr>
            <w:tcW w:type="dxa" w:w="3312"/>
            <w:tcMar>
              <w:top w:w="100" w:type="dxa"/>
              <w:start w:w="120" w:type="dxa"/>
              <w:bottom w:w="100" w:type="dxa"/>
              <w:end w:w="120" w:type="dxa"/>
            </w:tcMar>
            <w:shd w:fill="FFF8E8"/>
            <w:vAlign w:val="top"/>
          </w:tcPr>
          <w:p>
            <w:r>
              <w:t>Shutdown</w:t>
            </w:r>
          </w:p>
        </w:tc>
        <w:tc>
          <w:tcPr>
            <w:tcW w:type="dxa" w:w="3312"/>
            <w:tcMar>
              <w:top w:w="100" w:type="dxa"/>
              <w:start w:w="120" w:type="dxa"/>
              <w:bottom w:w="100" w:type="dxa"/>
              <w:end w:w="120" w:type="dxa"/>
            </w:tcMar>
            <w:shd w:fill="FFF8E8"/>
            <w:vAlign w:val="top"/>
          </w:tcPr>
          <w:p>
            <w:r>
              <w:t>Quiet reset is okay.</w:t>
            </w:r>
          </w:p>
        </w:tc>
        <w:tc>
          <w:tcPr>
            <w:tcW w:type="dxa" w:w="3312"/>
            <w:tcMar>
              <w:top w:w="100" w:type="dxa"/>
              <w:start w:w="120" w:type="dxa"/>
              <w:bottom w:w="100" w:type="dxa"/>
              <w:end w:w="120" w:type="dxa"/>
            </w:tcMar>
            <w:shd w:fill="FFF8E8"/>
            <w:vAlign w:val="top"/>
          </w:tcPr>
          <w:p>
            <w:r>
              <w:t>Calm corner 60 sec</w:t>
            </w:r>
          </w:p>
        </w:tc>
      </w:tr>
    </w:tbl>
    <w:p>
      <w:pPr>
        <w:spacing w:after="40"/>
      </w:pPr>
    </w:p>
    <w:p>
      <w:pPr>
        <w:pStyle w:val="Heading2"/>
      </w:pPr>
      <w:r>
        <w:t>Backup low-prep (if craft fails or energy crashes)</w:t>
      </w:r>
    </w:p>
    <w:p>
      <w:r>
        <w:t>Toss and whisper “Kṛṣṇa”; end with phrase.</w:t>
      </w:r>
    </w:p>
    <w:p>
      <w:pPr>
        <w:pStyle w:val="Heading2"/>
      </w:pPr>
      <w:r>
        <w:t>What success looks like</w:t>
      </w:r>
    </w:p>
    <w:p>
      <w:pPr>
        <w:pStyle w:val="ListBullet"/>
      </w:pPr>
      <w:r>
        <w:t>Attempts phrase</w:t>
      </w:r>
    </w:p>
    <w:p>
      <w:pPr>
        <w:pStyle w:val="ListBullet"/>
      </w:pPr>
      <w:r>
        <w:t>Soft echo once</w:t>
      </w:r>
    </w:p>
    <w:p>
      <w:pPr>
        <w:pStyle w:val="ListBullet"/>
      </w:pPr>
      <w:r>
        <w:t>Says no punishment chanting</w:t>
      </w:r>
    </w:p>
    <w:p>
      <w:pPr>
        <w:pStyle w:val="Heading2"/>
      </w:pPr>
      <w:r>
        <w:t>Boundaries</w:t>
      </w:r>
    </w:p>
    <w:p>
      <w:pPr>
        <w:pStyle w:val="ListBullet"/>
      </w:pPr>
      <w:r>
        <w:t>Snack/water only happens in main schedule (3:30), not as a track bribe.</w:t>
      </w:r>
    </w:p>
    <w:p>
      <w:pPr>
        <w:pStyle w:val="ListBullet"/>
      </w:pPr>
      <w:r>
        <w:t>No weekly meal language.</w:t>
      </w:r>
    </w:p>
    <w:p>
      <w:pPr>
        <w:pStyle w:val="ListBullet"/>
      </w:pPr>
      <w:r>
        <w:t>No fabricated approval stickers implying temple certification.</w:t>
      </w:r>
    </w:p>
    <w:p>
      <w:pPr>
        <w:pStyle w:val="ListBullet"/>
      </w:pPr>
      <w:r>
        <w:t>Privacy: no forced confession.</w:t>
      </w:r>
    </w:p>
    <w:p>
      <w:r>
        <w:br w:type="page"/>
      </w:r>
    </w:p>
    <w:p>
      <w:pPr>
        <w:pStyle w:val="Heading1"/>
      </w:pPr>
      <w:r>
        <w:t>Child House Rules</w:t>
      </w:r>
    </w:p>
    <w:p>
      <w:pPr>
        <w:pStyle w:val="KUTUMBARights"/>
      </w:pPr>
      <w:r>
        <w:t>Canonical source: launch/CHILD-HOUSE-RULES.md  •  SHA-256: 6a525f3dd1da740db86e246622696c7b08e28c1f1475227567d639a5bd54ce47</w:t>
      </w:r>
    </w:p>
    <w:p>
      <w:r>
        <w:t>Parents remain onsite. Facilitators guide the session. Host property rules also apply.</w:t>
      </w:r>
    </w:p>
    <w:p>
      <w:pPr>
        <w:pStyle w:val="Heading2"/>
      </w:pPr>
      <w:r>
        <w:t>Shared rules (all ages)</w:t>
      </w:r>
    </w:p>
    <w:p>
      <w:pPr>
        <w:ind w:left="288"/>
      </w:pPr>
      <w:r>
        <w:t>1. Keep your body safe — feet on the floor; hands gentle.</w:t>
      </w:r>
    </w:p>
    <w:p>
      <w:pPr>
        <w:ind w:left="288"/>
      </w:pPr>
      <w:r>
        <w:t>2. Use respectful speech — no teasing, yelling, or mean labels.</w:t>
      </w:r>
    </w:p>
    <w:p>
      <w:pPr>
        <w:ind w:left="288"/>
      </w:pPr>
      <w:r>
        <w:t>3. Follow the facilitator safety cue immediately (pause / freeze / come here).</w:t>
      </w:r>
    </w:p>
    <w:p>
      <w:pPr>
        <w:ind w:left="288"/>
      </w:pPr>
      <w:r>
        <w:t>4. No jumping on furniture.</w:t>
      </w:r>
    </w:p>
    <w:p>
      <w:pPr>
        <w:ind w:left="288"/>
      </w:pPr>
      <w:r>
        <w:t>5. No indoor throwing.</w:t>
      </w:r>
    </w:p>
    <w:p>
      <w:pPr>
        <w:ind w:left="288"/>
      </w:pPr>
      <w:r>
        <w:t>6. No writing on walls, books, or furniture that are not activity materials.</w:t>
      </w:r>
    </w:p>
    <w:p>
      <w:pPr>
        <w:ind w:left="288"/>
      </w:pPr>
      <w:r>
        <w:t>7. Ask before entering private rooms.</w:t>
      </w:r>
    </w:p>
    <w:p>
      <w:pPr>
        <w:ind w:left="288"/>
      </w:pPr>
      <w:r>
        <w:t>8. Respect belongings — ask before touching what is not yours.</w:t>
      </w:r>
    </w:p>
    <w:p>
      <w:pPr>
        <w:ind w:left="288"/>
      </w:pPr>
      <w:r>
        <w:t>9. Devices away unless the lesson specifically needs them.</w:t>
      </w:r>
    </w:p>
    <w:p>
      <w:pPr>
        <w:ind w:left="288"/>
      </w:pPr>
      <w:r>
        <w:t>10. Snack only in the allowed area; water anytime with permission.</w:t>
      </w:r>
    </w:p>
    <w:p>
      <w:pPr>
        <w:ind w:left="288"/>
      </w:pPr>
      <w:r>
        <w:t>11. Help clean up before leaving.</w:t>
      </w:r>
    </w:p>
    <w:p>
      <w:pPr>
        <w:pStyle w:val="Heading2"/>
      </w:pPr>
      <w:r>
        <w:t>Correction ladder (no public shame)</w:t>
      </w:r>
    </w:p>
    <w:p>
      <w:pPr>
        <w:ind w:left="288"/>
      </w:pPr>
      <w:r>
        <w:t xml:space="preserve">1. Calm reminder  </w:t>
      </w:r>
    </w:p>
    <w:p>
      <w:pPr>
        <w:ind w:left="288"/>
      </w:pPr>
      <w:r>
        <w:t xml:space="preserve">2. Redirect / offer a choice  </w:t>
      </w:r>
    </w:p>
    <w:p>
      <w:pPr>
        <w:ind w:left="288"/>
      </w:pPr>
      <w:r>
        <w:t xml:space="preserve">3. Brief quiet reset in a visible space  </w:t>
      </w:r>
    </w:p>
    <w:p>
      <w:pPr>
        <w:ind w:left="288"/>
      </w:pPr>
      <w:r>
        <w:t xml:space="preserve">4. Parent involvement  </w:t>
      </w:r>
    </w:p>
    <w:p>
      <w:pPr>
        <w:ind w:left="288"/>
      </w:pPr>
      <w:r>
        <w:t xml:space="preserve">5. Sit out a specific activity  </w:t>
      </w:r>
    </w:p>
    <w:p>
      <w:pPr>
        <w:ind w:left="288"/>
      </w:pPr>
      <w:r>
        <w:t xml:space="preserve">6. Private parent/program conversation for repeated patterns  </w:t>
      </w:r>
    </w:p>
    <w:p>
      <w:r>
        <w:rPr>
          <w:b/>
        </w:rPr>
        <w:t>Never:</w:t>
      </w:r>
      <w:r>
        <w:t xml:space="preserve"> public shame, yelling, sarcasm, corporal punishment, forced chanting, or comparing children.</w:t>
      </w:r>
    </w:p>
    <w:p>
      <w:pPr>
        <w:pStyle w:val="Heading2"/>
      </w:pPr>
      <w:r>
        <w:t>Younger (K–2) emphasis</w:t>
      </w:r>
    </w:p>
    <w:p>
      <w:pPr>
        <w:pStyle w:val="ListBullet"/>
      </w:pPr>
      <w:r>
        <w:t>Soft voices indoors</w:t>
      </w:r>
    </w:p>
    <w:p>
      <w:pPr>
        <w:pStyle w:val="ListBullet"/>
      </w:pPr>
      <w:r>
        <w:t>Stay with the group</w:t>
      </w:r>
    </w:p>
    <w:p>
      <w:pPr>
        <w:pStyle w:val="ListBullet"/>
      </w:pPr>
      <w:r>
        <w:t>Hands to yourself</w:t>
      </w:r>
    </w:p>
    <w:p>
      <w:pPr>
        <w:pStyle w:val="ListBullet"/>
      </w:pPr>
      <w:r>
        <w:t>Ask before leaving the room</w:t>
      </w:r>
    </w:p>
    <w:p>
      <w:pPr>
        <w:pStyle w:val="Heading2"/>
      </w:pPr>
      <w:r>
        <w:t>Older (Grades 4–5) emphasis</w:t>
      </w:r>
    </w:p>
    <w:p>
      <w:pPr>
        <w:pStyle w:val="ListBullet"/>
      </w:pPr>
      <w:r>
        <w:t>Model respectful speech for younger children</w:t>
      </w:r>
    </w:p>
    <w:p>
      <w:pPr>
        <w:pStyle w:val="ListBullet"/>
      </w:pPr>
      <w:r>
        <w:t>Devices fully away unless assigned</w:t>
      </w:r>
    </w:p>
    <w:p>
      <w:pPr>
        <w:pStyle w:val="ListBullet"/>
      </w:pPr>
      <w:r>
        <w:t>Help clean-up leadership</w:t>
      </w:r>
    </w:p>
    <w:p>
      <w:pPr>
        <w:pStyle w:val="ListBullet"/>
      </w:pPr>
      <w:r>
        <w:t>Honest questions welcome; speculation wait for source check</w:t>
      </w:r>
    </w:p>
    <w:p>
      <w:r>
        <w:t xml:space="preserve">Printable versions: W1 launch-pack </w:t>
      </w:r>
      <w:r>
        <w:rPr>
          <w:rFonts w:ascii="Consolas" w:hAnsi="Consolas"/>
          <w:color w:val="7A263A"/>
          <w:sz w:val="18"/>
        </w:rPr>
        <w:t>CHILD-RULES-YOUNGER.md</w:t>
      </w:r>
      <w:r>
        <w:t xml:space="preserve"> and </w:t>
      </w:r>
      <w:r>
        <w:rPr>
          <w:rFonts w:ascii="Consolas" w:hAnsi="Consolas"/>
          <w:color w:val="7A263A"/>
          <w:sz w:val="18"/>
        </w:rPr>
        <w:t>CHILD-RULES-OLDER.md</w:t>
      </w:r>
      <w:r>
        <w:t>.</w:t>
      </w:r>
    </w:p>
    <w:p>
      <w:r>
        <w:br w:type="page"/>
      </w:r>
    </w:p>
    <w:p>
      <w:pPr>
        <w:pStyle w:val="Heading1"/>
      </w:pPr>
      <w:r>
        <w:t>Y01 — Name joy movement</w:t>
      </w:r>
    </w:p>
    <w:p>
      <w:pPr>
        <w:jc w:val="center"/>
      </w:pPr>
      <w:r>
        <w:t>Gentle movement while echoing the holy name — soft voices welcome.</w:t>
      </w:r>
    </w:p>
    <w:p>
      <w:pPr>
        <w:jc w:val="center"/>
      </w:pPr>
      <w:r>
        <w:drawing>
          <wp:inline xmlns:a="http://schemas.openxmlformats.org/drawingml/2006/main" xmlns:pic="http://schemas.openxmlformats.org/drawingml/2006/picture">
            <wp:extent cx="5029200" cy="2905760"/>
            <wp:docPr id="1" name="Picture 1"/>
            <wp:cNvGraphicFramePr>
              <a:graphicFrameLocks noChangeAspect="1"/>
            </wp:cNvGraphicFramePr>
            <a:graphic>
              <a:graphicData uri="http://schemas.openxmlformats.org/drawingml/2006/picture">
                <pic:pic>
                  <pic:nvPicPr>
                    <pic:cNvPr id="0" name="kirtana-etiquette.png"/>
                    <pic:cNvPicPr/>
                  </pic:nvPicPr>
                  <pic:blipFill>
                    <a:blip r:embed="rId11"/>
                    <a:stretch>
                      <a:fillRect/>
                    </a:stretch>
                  </pic:blipFill>
                  <pic:spPr>
                    <a:xfrm>
                      <a:off x="0" y="0"/>
                      <a:ext cx="5029200" cy="2905760"/>
                    </a:xfrm>
                    <a:prstGeom prst="rect"/>
                  </pic:spPr>
                </pic:pic>
              </a:graphicData>
            </a:graphic>
          </wp:inline>
        </w:drawing>
      </w:r>
    </w:p>
    <w:tbl>
      <w:tblPr>
        <w:tblW w:type="auto" w:w="0"/>
        <w:jc w:val="center"/>
        <w:tblLayout w:type="fixed"/>
        <w:tblLook w:firstColumn="1" w:firstRow="1" w:lastColumn="0" w:lastRow="0" w:noHBand="0" w:noVBand="1" w:val="04A0"/>
        <w:tblBorders>
          <w:top w:val="single" w:sz="9" w:color="4F7C78"/>
          <w:left w:val="single" w:sz="9" w:color="4F7C78"/>
          <w:bottom w:val="single" w:sz="9" w:color="4F7C78"/>
          <w:right w:val="single" w:sz="9" w:color="4F7C78"/>
          <w:insideH w:val="single" w:sz="9" w:color="4F7C78"/>
          <w:insideV w:val="single" w:sz="9" w:color="4F7C78"/>
        </w:tblBorders>
      </w:tblPr>
      <w:tblGrid>
        <w:gridCol w:w="4968"/>
        <w:gridCol w:w="4968"/>
      </w:tblGrid>
      <w:tr>
        <w:tc>
          <w:tcPr>
            <w:tcW w:type="dxa" w:w="4752"/>
            <w:vAlign w:val="center"/>
          </w:tcPr>
          <w:p>
            <w:pPr>
              <w:spacing w:before="280" w:after="280"/>
              <w:jc w:val="center"/>
            </w:pPr>
            <w:r>
              <w:rPr>
                <w:b/>
                <w:color w:val="5B1933"/>
              </w:rPr>
              <w:t>CARD 1</w:t>
              <w:br/>
            </w:r>
            <w:r>
              <w:rPr>
                <w:sz w:val="26"/>
              </w:rPr>
              <w:t>Soft voice welcome</w:t>
            </w:r>
          </w:p>
        </w:tc>
        <w:tc>
          <w:tcPr>
            <w:tcW w:type="dxa" w:w="4752"/>
            <w:vAlign w:val="center"/>
          </w:tcPr>
          <w:p>
            <w:pPr>
              <w:spacing w:before="280" w:after="280"/>
              <w:jc w:val="center"/>
            </w:pPr>
            <w:r>
              <w:rPr>
                <w:b/>
                <w:color w:val="5B1933"/>
              </w:rPr>
              <w:t>CARD 2</w:t>
              <w:br/>
            </w:r>
            <w:r>
              <w:rPr>
                <w:sz w:val="26"/>
              </w:rPr>
              <w:t>Yell to win</w:t>
            </w:r>
          </w:p>
        </w:tc>
      </w:tr>
      <w:tr>
        <w:tc>
          <w:tcPr>
            <w:tcW w:type="dxa" w:w="4752"/>
            <w:vAlign w:val="center"/>
          </w:tcPr>
          <w:p>
            <w:pPr>
              <w:spacing w:before="280" w:after="280"/>
              <w:jc w:val="center"/>
            </w:pPr>
            <w:r>
              <w:rPr>
                <w:b/>
                <w:color w:val="5B1933"/>
              </w:rPr>
              <w:t>CARD 3</w:t>
              <w:br/>
            </w:r>
            <w:r>
              <w:rPr>
                <w:sz w:val="26"/>
              </w:rPr>
              <w:t>Listen first</w:t>
            </w:r>
          </w:p>
        </w:tc>
        <w:tc>
          <w:tcPr>
            <w:tcW w:type="dxa" w:w="4752"/>
            <w:vAlign w:val="center"/>
          </w:tcPr>
          <w:p>
            <w:pPr>
              <w:spacing w:before="280" w:after="280"/>
              <w:jc w:val="center"/>
            </w:pPr>
            <w:r>
              <w:rPr>
                <w:b/>
                <w:color w:val="5B1933"/>
              </w:rPr>
              <w:t>CARD 4</w:t>
              <w:br/>
            </w:r>
            <w:r>
              <w:rPr>
                <w:sz w:val="26"/>
              </w:rPr>
              <w:t>Mock a singer</w:t>
            </w:r>
          </w:p>
        </w:tc>
      </w:tr>
      <w:tr>
        <w:tc>
          <w:tcPr>
            <w:tcW w:type="dxa" w:w="4752"/>
            <w:vAlign w:val="center"/>
          </w:tcPr>
          <w:p>
            <w:pPr>
              <w:spacing w:before="280" w:after="280"/>
              <w:jc w:val="center"/>
            </w:pPr>
            <w:r>
              <w:rPr>
                <w:b/>
                <w:color w:val="5B1933"/>
              </w:rPr>
              <w:t>CARD 5</w:t>
              <w:br/>
            </w:r>
            <w:r>
              <w:rPr>
                <w:sz w:val="26"/>
              </w:rPr>
              <w:t>Join kindly</w:t>
            </w:r>
          </w:p>
        </w:tc>
        <w:tc>
          <w:tcPr>
            <w:tcW w:type="dxa" w:w="4752"/>
            <w:vAlign w:val="center"/>
          </w:tcPr>
          <w:p>
            <w:pPr>
              <w:spacing w:before="280" w:after="280"/>
              <w:jc w:val="center"/>
            </w:pPr>
            <w:r>
              <w:rPr>
                <w:b/>
                <w:color w:val="5B1933"/>
              </w:rPr>
              <w:t>CARD 6</w:t>
              <w:br/>
            </w:r>
            <w:r>
              <w:rPr>
                <w:sz w:val="26"/>
              </w:rPr>
              <w:t>Phone during kīrtana</w:t>
            </w:r>
          </w:p>
        </w:tc>
      </w:tr>
    </w:tbl>
    <w:p>
      <w:pPr>
        <w:pStyle w:val="Heading2"/>
      </w:pPr>
      <w:r>
        <w:t>Memory phrase</w:t>
      </w:r>
    </w:p>
    <w:tbl>
      <w:tblPr>
        <w:tblW w:type="auto" w:w="0"/>
        <w:tblLook w:firstColumn="1" w:firstRow="1" w:lastColumn="0" w:lastRow="0" w:noHBand="0" w:noVBand="1" w:val="04A0"/>
        <w:tblBorders>
          <w:top w:val="single" w:sz="10" w:color="E59B24"/>
          <w:left w:val="single" w:sz="10" w:color="E59B24"/>
          <w:bottom w:val="single" w:sz="10" w:color="E59B24"/>
          <w:right w:val="single" w:sz="10" w:color="E59B24"/>
          <w:insideH w:val="single" w:sz="10" w:color="E59B24"/>
          <w:insideV w:val="single" w:sz="10" w:color="E59B24"/>
        </w:tblBorders>
      </w:tblPr>
      <w:tblGrid>
        <w:gridCol w:w="9936"/>
      </w:tblGrid>
      <w:tr>
        <w:tc>
          <w:tcPr>
            <w:tcW w:type="dxa" w:w="9936"/>
            <w:shd w:fill="FFF8E8"/>
          </w:tcPr>
          <w:p>
            <w:pPr>
              <w:spacing w:before="240" w:after="240"/>
              <w:jc w:val="center"/>
            </w:pPr>
            <w:r>
              <w:rPr>
                <w:b/>
                <w:color w:val="5B1933"/>
                <w:sz w:val="36"/>
              </w:rPr>
              <w:t>Paraṁ vijayate śrī-kṛṣṇa-saṅkīrtanam.</w:t>
            </w:r>
          </w:p>
        </w:tc>
      </w:tr>
    </w:tbl>
    <w:p>
      <w:pPr>
        <w:jc w:val="center"/>
      </w:pPr>
      <w:r>
        <w:rPr>
          <w:i/>
          <w:color w:val="4F7C78"/>
          <w:sz w:val="22"/>
        </w:rPr>
        <w:t>Cut on the dashed borders. Keep each card intact.</w:t>
      </w:r>
    </w:p>
    <w:tbl>
      <w:tblPr>
        <w:tblW w:type="auto" w:w="0"/>
        <w:jc w:val="center"/>
        <w:tblLayout w:type="fixed"/>
        <w:tblLook w:firstColumn="1" w:firstRow="1" w:lastColumn="0" w:lastRow="0" w:noHBand="0" w:noVBand="1" w:val="04A0"/>
        <w:tblBorders>
          <w:top w:val="single" w:sz="8" w:color="4F7C78"/>
          <w:left w:val="single" w:sz="8" w:color="4F7C78"/>
          <w:bottom w:val="single" w:sz="8" w:color="4F7C78"/>
          <w:right w:val="single" w:sz="8" w:color="4F7C78"/>
          <w:insideH w:val="single" w:sz="8" w:color="4F7C78"/>
          <w:insideV w:val="single" w:sz="8" w:color="4F7C78"/>
        </w:tblBorders>
      </w:tblPr>
      <w:tblGrid>
        <w:gridCol w:w="1944"/>
        <w:gridCol w:w="8136"/>
      </w:tblGrid>
      <w:tr>
        <w:tc>
          <w:tcPr>
            <w:tcW w:type="dxa" w:w="4968"/>
            <w:shd w:fill="4F7C78"/>
            <w:tcMar>
              <w:top w:w="130" w:type="dxa"/>
              <w:start w:w="140" w:type="dxa"/>
              <w:bottom w:w="130" w:type="dxa"/>
              <w:end w:w="140" w:type="dxa"/>
            </w:tcMar>
            <w:vAlign w:val="center"/>
          </w:tcPr>
          <w:p>
            <w:pPr>
              <w:pStyle w:val="KUTUMBACalloutLabel"/>
              <w:jc w:val="center"/>
            </w:pPr>
            <w:r>
              <w:t>TEACHER NOTE</w:t>
            </w:r>
          </w:p>
        </w:tc>
        <w:tc>
          <w:tcPr>
            <w:tcW w:type="dxa" w:w="4968"/>
            <w:shd w:fill="E4F0ED"/>
            <w:tcMar>
              <w:top w:w="130" w:type="dxa"/>
              <w:start w:w="140" w:type="dxa"/>
              <w:bottom w:w="130" w:type="dxa"/>
              <w:end w:w="140" w:type="dxa"/>
            </w:tcMar>
            <w:vAlign w:val="center"/>
          </w:tcPr>
          <w:p>
            <w:pPr>
              <w:pStyle w:val="KUTUMBACalloutBody"/>
            </w:pPr>
            <w:r>
              <w:t>No ranking by volume; include full Śikṣāṣṭaka verse-1 source-language layer; invitation not contest.</w:t>
            </w:r>
          </w:p>
        </w:tc>
      </w:tr>
    </w:tbl>
    <w:p>
      <w:pPr>
        <w:spacing w:after="20"/>
      </w:pPr>
    </w:p>
    <w:p>
      <w:r>
        <w:br w:type="page"/>
      </w:r>
    </w:p>
    <w:p>
      <w:pPr>
        <w:pStyle w:val="Heading1"/>
      </w:pPr>
      <w:r>
        <w:t>Y02 — Etiquette matching</w:t>
      </w:r>
    </w:p>
    <w:p>
      <w:pPr>
        <w:jc w:val="center"/>
      </w:pPr>
      <w:r>
        <w:t>Match listen / join / don’t mock.</w:t>
      </w:r>
    </w:p>
    <w:p>
      <w:pPr>
        <w:jc w:val="center"/>
      </w:pPr>
      <w:r>
        <w:drawing>
          <wp:inline xmlns:a="http://schemas.openxmlformats.org/drawingml/2006/main" xmlns:pic="http://schemas.openxmlformats.org/drawingml/2006/picture">
            <wp:extent cx="5029200" cy="3352800"/>
            <wp:docPr id="2" name="Picture 2"/>
            <wp:cNvGraphicFramePr>
              <a:graphicFrameLocks noChangeAspect="1"/>
            </wp:cNvGraphicFramePr>
            <a:graphic>
              <a:graphicData uri="http://schemas.openxmlformats.org/drawingml/2006/picture">
                <pic:pic>
                  <pic:nvPicPr>
                    <pic:cNvPr id="0" name="heart-mirror.png"/>
                    <pic:cNvPicPr/>
                  </pic:nvPicPr>
                  <pic:blipFill>
                    <a:blip r:embed="rId12"/>
                    <a:stretch>
                      <a:fillRect/>
                    </a:stretch>
                  </pic:blipFill>
                  <pic:spPr>
                    <a:xfrm>
                      <a:off x="0" y="0"/>
                      <a:ext cx="5029200" cy="3352800"/>
                    </a:xfrm>
                    <a:prstGeom prst="rect"/>
                  </pic:spPr>
                </pic:pic>
              </a:graphicData>
            </a:graphic>
          </wp:inline>
        </w:drawing>
      </w:r>
    </w:p>
    <w:tbl>
      <w:tblPr>
        <w:tblW w:type="auto" w:w="0"/>
        <w:jc w:val="center"/>
        <w:tblLayout w:type="fixed"/>
        <w:tblLook w:firstColumn="1" w:firstRow="1" w:lastColumn="0" w:lastRow="0" w:noHBand="0" w:noVBand="1" w:val="04A0"/>
        <w:tblBorders>
          <w:top w:val="single" w:sz="9" w:color="4F7C78"/>
          <w:left w:val="single" w:sz="9" w:color="4F7C78"/>
          <w:bottom w:val="single" w:sz="9" w:color="4F7C78"/>
          <w:right w:val="single" w:sz="9" w:color="4F7C78"/>
          <w:insideH w:val="single" w:sz="9" w:color="4F7C78"/>
          <w:insideV w:val="single" w:sz="9" w:color="4F7C78"/>
        </w:tblBorders>
      </w:tblPr>
      <w:tblGrid>
        <w:gridCol w:w="4968"/>
        <w:gridCol w:w="4968"/>
      </w:tblGrid>
      <w:tr>
        <w:tc>
          <w:tcPr>
            <w:tcW w:type="dxa" w:w="4752"/>
            <w:vAlign w:val="center"/>
          </w:tcPr>
          <w:p>
            <w:pPr>
              <w:spacing w:before="280" w:after="280"/>
              <w:jc w:val="center"/>
            </w:pPr>
            <w:r>
              <w:rPr>
                <w:b/>
                <w:color w:val="5B1933"/>
              </w:rPr>
              <w:t>CARD 1</w:t>
              <w:br/>
            </w:r>
            <w:r>
              <w:rPr>
                <w:sz w:val="26"/>
              </w:rPr>
              <w:t>Soft voice welcome</w:t>
            </w:r>
          </w:p>
        </w:tc>
        <w:tc>
          <w:tcPr>
            <w:tcW w:type="dxa" w:w="4752"/>
            <w:vAlign w:val="center"/>
          </w:tcPr>
          <w:p>
            <w:pPr>
              <w:spacing w:before="280" w:after="280"/>
              <w:jc w:val="center"/>
            </w:pPr>
            <w:r>
              <w:rPr>
                <w:b/>
                <w:color w:val="5B1933"/>
              </w:rPr>
              <w:t>CARD 2</w:t>
              <w:br/>
            </w:r>
            <w:r>
              <w:rPr>
                <w:sz w:val="26"/>
              </w:rPr>
              <w:t>Yell to win</w:t>
            </w:r>
          </w:p>
        </w:tc>
      </w:tr>
      <w:tr>
        <w:tc>
          <w:tcPr>
            <w:tcW w:type="dxa" w:w="4752"/>
            <w:vAlign w:val="center"/>
          </w:tcPr>
          <w:p>
            <w:pPr>
              <w:spacing w:before="280" w:after="280"/>
              <w:jc w:val="center"/>
            </w:pPr>
            <w:r>
              <w:rPr>
                <w:b/>
                <w:color w:val="5B1933"/>
              </w:rPr>
              <w:t>CARD 3</w:t>
              <w:br/>
            </w:r>
            <w:r>
              <w:rPr>
                <w:sz w:val="26"/>
              </w:rPr>
              <w:t>Listen first</w:t>
            </w:r>
          </w:p>
        </w:tc>
        <w:tc>
          <w:tcPr>
            <w:tcW w:type="dxa" w:w="4752"/>
            <w:vAlign w:val="center"/>
          </w:tcPr>
          <w:p>
            <w:pPr>
              <w:spacing w:before="280" w:after="280"/>
              <w:jc w:val="center"/>
            </w:pPr>
            <w:r>
              <w:rPr>
                <w:b/>
                <w:color w:val="5B1933"/>
              </w:rPr>
              <w:t>CARD 4</w:t>
              <w:br/>
            </w:r>
            <w:r>
              <w:rPr>
                <w:sz w:val="26"/>
              </w:rPr>
              <w:t>Mock a singer</w:t>
            </w:r>
          </w:p>
        </w:tc>
      </w:tr>
      <w:tr>
        <w:tc>
          <w:tcPr>
            <w:tcW w:type="dxa" w:w="4752"/>
            <w:vAlign w:val="center"/>
          </w:tcPr>
          <w:p>
            <w:pPr>
              <w:spacing w:before="280" w:after="280"/>
              <w:jc w:val="center"/>
            </w:pPr>
            <w:r>
              <w:rPr>
                <w:b/>
                <w:color w:val="5B1933"/>
              </w:rPr>
              <w:t>CARD 5</w:t>
              <w:br/>
            </w:r>
            <w:r>
              <w:rPr>
                <w:sz w:val="26"/>
              </w:rPr>
              <w:t>Join kindly</w:t>
            </w:r>
          </w:p>
        </w:tc>
        <w:tc>
          <w:tcPr>
            <w:tcW w:type="dxa" w:w="4752"/>
            <w:vAlign w:val="center"/>
          </w:tcPr>
          <w:p>
            <w:pPr>
              <w:spacing w:before="280" w:after="280"/>
              <w:jc w:val="center"/>
            </w:pPr>
            <w:r>
              <w:rPr>
                <w:b/>
                <w:color w:val="5B1933"/>
              </w:rPr>
              <w:t>CARD 6</w:t>
              <w:br/>
            </w:r>
            <w:r>
              <w:rPr>
                <w:sz w:val="26"/>
              </w:rPr>
              <w:t>Phone during kīrtana</w:t>
            </w:r>
          </w:p>
        </w:tc>
      </w:tr>
    </w:tbl>
    <w:p>
      <w:pPr>
        <w:pStyle w:val="Heading2"/>
      </w:pPr>
      <w:r>
        <w:t>Memory phrase</w:t>
      </w:r>
    </w:p>
    <w:tbl>
      <w:tblPr>
        <w:tblW w:type="auto" w:w="0"/>
        <w:tblLook w:firstColumn="1" w:firstRow="1" w:lastColumn="0" w:lastRow="0" w:noHBand="0" w:noVBand="1" w:val="04A0"/>
        <w:tblBorders>
          <w:top w:val="single" w:sz="10" w:color="E59B24"/>
          <w:left w:val="single" w:sz="10" w:color="E59B24"/>
          <w:bottom w:val="single" w:sz="10" w:color="E59B24"/>
          <w:right w:val="single" w:sz="10" w:color="E59B24"/>
          <w:insideH w:val="single" w:sz="10" w:color="E59B24"/>
          <w:insideV w:val="single" w:sz="10" w:color="E59B24"/>
        </w:tblBorders>
      </w:tblPr>
      <w:tblGrid>
        <w:gridCol w:w="9936"/>
      </w:tblGrid>
      <w:tr>
        <w:tc>
          <w:tcPr>
            <w:tcW w:type="dxa" w:w="9936"/>
            <w:shd w:fill="FFF8E8"/>
          </w:tcPr>
          <w:p>
            <w:pPr>
              <w:spacing w:before="240" w:after="240"/>
              <w:jc w:val="center"/>
            </w:pPr>
            <w:r>
              <w:rPr>
                <w:b/>
                <w:color w:val="5B1933"/>
                <w:sz w:val="36"/>
              </w:rPr>
              <w:t>Paraṁ vijayate śrī-kṛṣṇa-saṅkīrtanam.</w:t>
            </w:r>
          </w:p>
        </w:tc>
      </w:tr>
    </w:tbl>
    <w:p>
      <w:pPr>
        <w:jc w:val="center"/>
      </w:pPr>
      <w:r>
        <w:rPr>
          <w:i/>
          <w:color w:val="4F7C78"/>
          <w:sz w:val="22"/>
        </w:rPr>
        <w:t>Cut on the dashed borders. Keep each card intact.</w:t>
      </w:r>
    </w:p>
    <w:tbl>
      <w:tblPr>
        <w:tblW w:type="auto" w:w="0"/>
        <w:jc w:val="center"/>
        <w:tblLayout w:type="fixed"/>
        <w:tblLook w:firstColumn="1" w:firstRow="1" w:lastColumn="0" w:lastRow="0" w:noHBand="0" w:noVBand="1" w:val="04A0"/>
        <w:tblBorders>
          <w:top w:val="single" w:sz="8" w:color="4F7C78"/>
          <w:left w:val="single" w:sz="8" w:color="4F7C78"/>
          <w:bottom w:val="single" w:sz="8" w:color="4F7C78"/>
          <w:right w:val="single" w:sz="8" w:color="4F7C78"/>
          <w:insideH w:val="single" w:sz="8" w:color="4F7C78"/>
          <w:insideV w:val="single" w:sz="8" w:color="4F7C78"/>
        </w:tblBorders>
      </w:tblPr>
      <w:tblGrid>
        <w:gridCol w:w="1944"/>
        <w:gridCol w:w="8136"/>
      </w:tblGrid>
      <w:tr>
        <w:tc>
          <w:tcPr>
            <w:tcW w:type="dxa" w:w="4968"/>
            <w:shd w:fill="4F7C78"/>
            <w:tcMar>
              <w:top w:w="130" w:type="dxa"/>
              <w:start w:w="140" w:type="dxa"/>
              <w:bottom w:w="130" w:type="dxa"/>
              <w:end w:w="140" w:type="dxa"/>
            </w:tcMar>
            <w:vAlign w:val="center"/>
          </w:tcPr>
          <w:p>
            <w:pPr>
              <w:pStyle w:val="KUTUMBACalloutLabel"/>
              <w:jc w:val="center"/>
            </w:pPr>
            <w:r>
              <w:t>TEACHER NOTE</w:t>
            </w:r>
          </w:p>
        </w:tc>
        <w:tc>
          <w:tcPr>
            <w:tcW w:type="dxa" w:w="4968"/>
            <w:shd w:fill="E4F0ED"/>
            <w:tcMar>
              <w:top w:w="130" w:type="dxa"/>
              <w:start w:w="140" w:type="dxa"/>
              <w:bottom w:w="130" w:type="dxa"/>
              <w:end w:w="140" w:type="dxa"/>
            </w:tcMar>
            <w:vAlign w:val="center"/>
          </w:tcPr>
          <w:p>
            <w:pPr>
              <w:pStyle w:val="KUTUMBACalloutBody"/>
            </w:pPr>
            <w:r>
              <w:t>No ranking by volume; include full Śikṣāṣṭaka verse-1 source-language layer; invitation not contest.</w:t>
            </w:r>
          </w:p>
        </w:tc>
      </w:tr>
    </w:tbl>
    <w:p>
      <w:pPr>
        <w:spacing w:after="20"/>
      </w:pPr>
    </w:p>
    <w:p>
      <w:r>
        <w:br w:type="page"/>
      </w:r>
    </w:p>
    <w:p>
      <w:pPr>
        <w:pStyle w:val="Heading1"/>
      </w:pPr>
      <w:r>
        <w:t>Y03 — Mirror-heart craft</w:t>
      </w:r>
    </w:p>
    <w:p>
      <w:pPr>
        <w:jc w:val="center"/>
      </w:pPr>
      <w:r>
        <w:t>Craft “clean the mirror” heart card.</w:t>
      </w:r>
    </w:p>
    <w:p>
      <w:pPr>
        <w:jc w:val="center"/>
      </w:pPr>
      <w:r>
        <w:drawing>
          <wp:inline xmlns:a="http://schemas.openxmlformats.org/drawingml/2006/main" xmlns:pic="http://schemas.openxmlformats.org/drawingml/2006/picture">
            <wp:extent cx="5029200" cy="3352800"/>
            <wp:docPr id="3" name="Picture 3"/>
            <wp:cNvGraphicFramePr>
              <a:graphicFrameLocks noChangeAspect="1"/>
            </wp:cNvGraphicFramePr>
            <a:graphic>
              <a:graphicData uri="http://schemas.openxmlformats.org/drawingml/2006/picture">
                <pic:pic>
                  <pic:nvPicPr>
                    <pic:cNvPr id="0" name="name-joy.png"/>
                    <pic:cNvPicPr/>
                  </pic:nvPicPr>
                  <pic:blipFill>
                    <a:blip r:embed="rId13"/>
                    <a:stretch>
                      <a:fillRect/>
                    </a:stretch>
                  </pic:blipFill>
                  <pic:spPr>
                    <a:xfrm>
                      <a:off x="0" y="0"/>
                      <a:ext cx="5029200" cy="3352800"/>
                    </a:xfrm>
                    <a:prstGeom prst="rect"/>
                  </pic:spPr>
                </pic:pic>
              </a:graphicData>
            </a:graphic>
          </wp:inline>
        </w:drawing>
      </w:r>
    </w:p>
    <w:tbl>
      <w:tblPr>
        <w:tblW w:type="auto" w:w="0"/>
        <w:jc w:val="center"/>
        <w:tblLayout w:type="fixed"/>
        <w:tblLook w:firstColumn="1" w:firstRow="1" w:lastColumn="0" w:lastRow="0" w:noHBand="0" w:noVBand="1" w:val="04A0"/>
        <w:tblBorders>
          <w:top w:val="single" w:sz="9" w:color="4F7C78"/>
          <w:left w:val="single" w:sz="9" w:color="4F7C78"/>
          <w:bottom w:val="single" w:sz="9" w:color="4F7C78"/>
          <w:right w:val="single" w:sz="9" w:color="4F7C78"/>
          <w:insideH w:val="single" w:sz="9" w:color="4F7C78"/>
          <w:insideV w:val="single" w:sz="9" w:color="4F7C78"/>
        </w:tblBorders>
      </w:tblPr>
      <w:tblGrid>
        <w:gridCol w:w="4968"/>
        <w:gridCol w:w="4968"/>
      </w:tblGrid>
      <w:tr>
        <w:tc>
          <w:tcPr>
            <w:tcW w:type="dxa" w:w="4752"/>
            <w:vAlign w:val="center"/>
          </w:tcPr>
          <w:p>
            <w:pPr>
              <w:spacing w:before="280" w:after="280"/>
              <w:jc w:val="center"/>
            </w:pPr>
            <w:r>
              <w:rPr>
                <w:b/>
                <w:color w:val="5B1933"/>
              </w:rPr>
              <w:t>CARD 1</w:t>
              <w:br/>
            </w:r>
            <w:r>
              <w:rPr>
                <w:sz w:val="26"/>
              </w:rPr>
              <w:t>Soft voice welcome</w:t>
            </w:r>
          </w:p>
        </w:tc>
        <w:tc>
          <w:tcPr>
            <w:tcW w:type="dxa" w:w="4752"/>
            <w:vAlign w:val="center"/>
          </w:tcPr>
          <w:p>
            <w:pPr>
              <w:spacing w:before="280" w:after="280"/>
              <w:jc w:val="center"/>
            </w:pPr>
            <w:r>
              <w:rPr>
                <w:b/>
                <w:color w:val="5B1933"/>
              </w:rPr>
              <w:t>CARD 2</w:t>
              <w:br/>
            </w:r>
            <w:r>
              <w:rPr>
                <w:sz w:val="26"/>
              </w:rPr>
              <w:t>Yell to win</w:t>
            </w:r>
          </w:p>
        </w:tc>
      </w:tr>
      <w:tr>
        <w:tc>
          <w:tcPr>
            <w:tcW w:type="dxa" w:w="4752"/>
            <w:vAlign w:val="center"/>
          </w:tcPr>
          <w:p>
            <w:pPr>
              <w:spacing w:before="280" w:after="280"/>
              <w:jc w:val="center"/>
            </w:pPr>
            <w:r>
              <w:rPr>
                <w:b/>
                <w:color w:val="5B1933"/>
              </w:rPr>
              <w:t>CARD 3</w:t>
              <w:br/>
            </w:r>
            <w:r>
              <w:rPr>
                <w:sz w:val="26"/>
              </w:rPr>
              <w:t>Listen first</w:t>
            </w:r>
          </w:p>
        </w:tc>
        <w:tc>
          <w:tcPr>
            <w:tcW w:type="dxa" w:w="4752"/>
            <w:vAlign w:val="center"/>
          </w:tcPr>
          <w:p>
            <w:pPr>
              <w:spacing w:before="280" w:after="280"/>
              <w:jc w:val="center"/>
            </w:pPr>
            <w:r>
              <w:rPr>
                <w:b/>
                <w:color w:val="5B1933"/>
              </w:rPr>
              <w:t>CARD 4</w:t>
              <w:br/>
            </w:r>
            <w:r>
              <w:rPr>
                <w:sz w:val="26"/>
              </w:rPr>
              <w:t>Mock a singer</w:t>
            </w:r>
          </w:p>
        </w:tc>
      </w:tr>
      <w:tr>
        <w:tc>
          <w:tcPr>
            <w:tcW w:type="dxa" w:w="4752"/>
            <w:vAlign w:val="center"/>
          </w:tcPr>
          <w:p>
            <w:pPr>
              <w:spacing w:before="280" w:after="280"/>
              <w:jc w:val="center"/>
            </w:pPr>
            <w:r>
              <w:rPr>
                <w:b/>
                <w:color w:val="5B1933"/>
              </w:rPr>
              <w:t>CARD 5</w:t>
              <w:br/>
            </w:r>
            <w:r>
              <w:rPr>
                <w:sz w:val="26"/>
              </w:rPr>
              <w:t>Join kindly</w:t>
            </w:r>
          </w:p>
        </w:tc>
        <w:tc>
          <w:tcPr>
            <w:tcW w:type="dxa" w:w="4752"/>
            <w:vAlign w:val="center"/>
          </w:tcPr>
          <w:p>
            <w:pPr>
              <w:spacing w:before="280" w:after="280"/>
              <w:jc w:val="center"/>
            </w:pPr>
            <w:r>
              <w:rPr>
                <w:b/>
                <w:color w:val="5B1933"/>
              </w:rPr>
              <w:t>CARD 6</w:t>
              <w:br/>
            </w:r>
            <w:r>
              <w:rPr>
                <w:sz w:val="26"/>
              </w:rPr>
              <w:t>Phone during kīrtana</w:t>
            </w:r>
          </w:p>
        </w:tc>
      </w:tr>
    </w:tbl>
    <w:p>
      <w:pPr>
        <w:pStyle w:val="Heading2"/>
      </w:pPr>
      <w:r>
        <w:t>Memory phrase</w:t>
      </w:r>
    </w:p>
    <w:tbl>
      <w:tblPr>
        <w:tblW w:type="auto" w:w="0"/>
        <w:tblLook w:firstColumn="1" w:firstRow="1" w:lastColumn="0" w:lastRow="0" w:noHBand="0" w:noVBand="1" w:val="04A0"/>
        <w:tblBorders>
          <w:top w:val="single" w:sz="10" w:color="E59B24"/>
          <w:left w:val="single" w:sz="10" w:color="E59B24"/>
          <w:bottom w:val="single" w:sz="10" w:color="E59B24"/>
          <w:right w:val="single" w:sz="10" w:color="E59B24"/>
          <w:insideH w:val="single" w:sz="10" w:color="E59B24"/>
          <w:insideV w:val="single" w:sz="10" w:color="E59B24"/>
        </w:tblBorders>
      </w:tblPr>
      <w:tblGrid>
        <w:gridCol w:w="9936"/>
      </w:tblGrid>
      <w:tr>
        <w:tc>
          <w:tcPr>
            <w:tcW w:type="dxa" w:w="9936"/>
            <w:shd w:fill="FFF8E8"/>
          </w:tcPr>
          <w:p>
            <w:pPr>
              <w:spacing w:before="240" w:after="240"/>
              <w:jc w:val="center"/>
            </w:pPr>
            <w:r>
              <w:rPr>
                <w:b/>
                <w:color w:val="5B1933"/>
                <w:sz w:val="36"/>
              </w:rPr>
              <w:t>Paraṁ vijayate śrī-kṛṣṇa-saṅkīrtanam.</w:t>
            </w:r>
          </w:p>
        </w:tc>
      </w:tr>
    </w:tbl>
    <w:p>
      <w:pPr>
        <w:jc w:val="center"/>
      </w:pPr>
      <w:r>
        <w:rPr>
          <w:i/>
          <w:color w:val="4F7C78"/>
          <w:sz w:val="22"/>
        </w:rPr>
        <w:t>Cut on the dashed borders. Keep each card intact.</w:t>
      </w:r>
    </w:p>
    <w:tbl>
      <w:tblPr>
        <w:tblW w:type="auto" w:w="0"/>
        <w:jc w:val="center"/>
        <w:tblLayout w:type="fixed"/>
        <w:tblLook w:firstColumn="1" w:firstRow="1" w:lastColumn="0" w:lastRow="0" w:noHBand="0" w:noVBand="1" w:val="04A0"/>
        <w:tblBorders>
          <w:top w:val="single" w:sz="8" w:color="4F7C78"/>
          <w:left w:val="single" w:sz="8" w:color="4F7C78"/>
          <w:bottom w:val="single" w:sz="8" w:color="4F7C78"/>
          <w:right w:val="single" w:sz="8" w:color="4F7C78"/>
          <w:insideH w:val="single" w:sz="8" w:color="4F7C78"/>
          <w:insideV w:val="single" w:sz="8" w:color="4F7C78"/>
        </w:tblBorders>
      </w:tblPr>
      <w:tblGrid>
        <w:gridCol w:w="1944"/>
        <w:gridCol w:w="8136"/>
      </w:tblGrid>
      <w:tr>
        <w:tc>
          <w:tcPr>
            <w:tcW w:type="dxa" w:w="4968"/>
            <w:shd w:fill="4F7C78"/>
            <w:tcMar>
              <w:top w:w="130" w:type="dxa"/>
              <w:start w:w="140" w:type="dxa"/>
              <w:bottom w:w="130" w:type="dxa"/>
              <w:end w:w="140" w:type="dxa"/>
            </w:tcMar>
            <w:vAlign w:val="center"/>
          </w:tcPr>
          <w:p>
            <w:pPr>
              <w:pStyle w:val="KUTUMBACalloutLabel"/>
              <w:jc w:val="center"/>
            </w:pPr>
            <w:r>
              <w:t>TEACHER NOTE</w:t>
            </w:r>
          </w:p>
        </w:tc>
        <w:tc>
          <w:tcPr>
            <w:tcW w:type="dxa" w:w="4968"/>
            <w:shd w:fill="E4F0ED"/>
            <w:tcMar>
              <w:top w:w="130" w:type="dxa"/>
              <w:start w:w="140" w:type="dxa"/>
              <w:bottom w:w="130" w:type="dxa"/>
              <w:end w:w="140" w:type="dxa"/>
            </w:tcMar>
            <w:vAlign w:val="center"/>
          </w:tcPr>
          <w:p>
            <w:pPr>
              <w:pStyle w:val="KUTUMBACalloutBody"/>
            </w:pPr>
            <w:r>
              <w:t>No ranking by volume; include full Śikṣāṣṭaka verse-1 source-language layer; invitation not contest.</w:t>
            </w:r>
          </w:p>
        </w:tc>
      </w:tr>
    </w:tbl>
    <w:p>
      <w:pPr>
        <w:spacing w:after="20"/>
      </w:pPr>
    </w:p>
    <w:p>
      <w:r>
        <w:br w:type="page"/>
      </w:r>
    </w:p>
    <w:p>
      <w:pPr>
        <w:pStyle w:val="Heading1"/>
      </w:pPr>
      <w:r>
        <w:t>Y04 — Attention cards</w:t>
      </w:r>
    </w:p>
    <w:p>
      <w:pPr>
        <w:jc w:val="center"/>
      </w:pPr>
      <w:r>
        <w:t>Eyes soft / voice kind / no contest.</w:t>
      </w:r>
    </w:p>
    <w:p>
      <w:pPr>
        <w:jc w:val="center"/>
      </w:pPr>
      <w:r>
        <w:drawing>
          <wp:inline xmlns:a="http://schemas.openxmlformats.org/drawingml/2006/main" xmlns:pic="http://schemas.openxmlformats.org/drawingml/2006/picture">
            <wp:extent cx="5029200" cy="3352800"/>
            <wp:docPr id="4" name="Picture 4"/>
            <wp:cNvGraphicFramePr>
              <a:graphicFrameLocks noChangeAspect="1"/>
            </wp:cNvGraphicFramePr>
            <a:graphic>
              <a:graphicData uri="http://schemas.openxmlformats.org/drawingml/2006/picture">
                <pic:pic>
                  <pic:nvPicPr>
                    <pic:cNvPr id="0" name="memory-mat.png"/>
                    <pic:cNvPicPr/>
                  </pic:nvPicPr>
                  <pic:blipFill>
                    <a:blip r:embed="rId14"/>
                    <a:stretch>
                      <a:fillRect/>
                    </a:stretch>
                  </pic:blipFill>
                  <pic:spPr>
                    <a:xfrm>
                      <a:off x="0" y="0"/>
                      <a:ext cx="5029200" cy="3352800"/>
                    </a:xfrm>
                    <a:prstGeom prst="rect"/>
                  </pic:spPr>
                </pic:pic>
              </a:graphicData>
            </a:graphic>
          </wp:inline>
        </w:drawing>
      </w:r>
    </w:p>
    <w:tbl>
      <w:tblPr>
        <w:tblW w:type="auto" w:w="0"/>
        <w:jc w:val="center"/>
        <w:tblLayout w:type="fixed"/>
        <w:tblLook w:firstColumn="1" w:firstRow="1" w:lastColumn="0" w:lastRow="0" w:noHBand="0" w:noVBand="1" w:val="04A0"/>
        <w:tblBorders>
          <w:top w:val="single" w:sz="9" w:color="4F7C78"/>
          <w:left w:val="single" w:sz="9" w:color="4F7C78"/>
          <w:bottom w:val="single" w:sz="9" w:color="4F7C78"/>
          <w:right w:val="single" w:sz="9" w:color="4F7C78"/>
          <w:insideH w:val="single" w:sz="9" w:color="4F7C78"/>
          <w:insideV w:val="single" w:sz="9" w:color="4F7C78"/>
        </w:tblBorders>
      </w:tblPr>
      <w:tblGrid>
        <w:gridCol w:w="4968"/>
        <w:gridCol w:w="4968"/>
      </w:tblGrid>
      <w:tr>
        <w:tc>
          <w:tcPr>
            <w:tcW w:type="dxa" w:w="4752"/>
            <w:vAlign w:val="center"/>
          </w:tcPr>
          <w:p>
            <w:pPr>
              <w:spacing w:before="280" w:after="280"/>
              <w:jc w:val="center"/>
            </w:pPr>
            <w:r>
              <w:rPr>
                <w:b/>
                <w:color w:val="5B1933"/>
              </w:rPr>
              <w:t>CARD 1</w:t>
              <w:br/>
            </w:r>
            <w:r>
              <w:rPr>
                <w:sz w:val="26"/>
              </w:rPr>
              <w:t>Soft voice welcome</w:t>
            </w:r>
          </w:p>
        </w:tc>
        <w:tc>
          <w:tcPr>
            <w:tcW w:type="dxa" w:w="4752"/>
            <w:vAlign w:val="center"/>
          </w:tcPr>
          <w:p>
            <w:pPr>
              <w:spacing w:before="280" w:after="280"/>
              <w:jc w:val="center"/>
            </w:pPr>
            <w:r>
              <w:rPr>
                <w:b/>
                <w:color w:val="5B1933"/>
              </w:rPr>
              <w:t>CARD 2</w:t>
              <w:br/>
            </w:r>
            <w:r>
              <w:rPr>
                <w:sz w:val="26"/>
              </w:rPr>
              <w:t>Yell to win</w:t>
            </w:r>
          </w:p>
        </w:tc>
      </w:tr>
      <w:tr>
        <w:tc>
          <w:tcPr>
            <w:tcW w:type="dxa" w:w="4752"/>
            <w:vAlign w:val="center"/>
          </w:tcPr>
          <w:p>
            <w:pPr>
              <w:spacing w:before="280" w:after="280"/>
              <w:jc w:val="center"/>
            </w:pPr>
            <w:r>
              <w:rPr>
                <w:b/>
                <w:color w:val="5B1933"/>
              </w:rPr>
              <w:t>CARD 3</w:t>
              <w:br/>
            </w:r>
            <w:r>
              <w:rPr>
                <w:sz w:val="26"/>
              </w:rPr>
              <w:t>Listen first</w:t>
            </w:r>
          </w:p>
        </w:tc>
        <w:tc>
          <w:tcPr>
            <w:tcW w:type="dxa" w:w="4752"/>
            <w:vAlign w:val="center"/>
          </w:tcPr>
          <w:p>
            <w:pPr>
              <w:spacing w:before="280" w:after="280"/>
              <w:jc w:val="center"/>
            </w:pPr>
            <w:r>
              <w:rPr>
                <w:b/>
                <w:color w:val="5B1933"/>
              </w:rPr>
              <w:t>CARD 4</w:t>
              <w:br/>
            </w:r>
            <w:r>
              <w:rPr>
                <w:sz w:val="26"/>
              </w:rPr>
              <w:t>Mock a singer</w:t>
            </w:r>
          </w:p>
        </w:tc>
      </w:tr>
      <w:tr>
        <w:tc>
          <w:tcPr>
            <w:tcW w:type="dxa" w:w="4752"/>
            <w:vAlign w:val="center"/>
          </w:tcPr>
          <w:p>
            <w:pPr>
              <w:spacing w:before="280" w:after="280"/>
              <w:jc w:val="center"/>
            </w:pPr>
            <w:r>
              <w:rPr>
                <w:b/>
                <w:color w:val="5B1933"/>
              </w:rPr>
              <w:t>CARD 5</w:t>
              <w:br/>
            </w:r>
            <w:r>
              <w:rPr>
                <w:sz w:val="26"/>
              </w:rPr>
              <w:t>Join kindly</w:t>
            </w:r>
          </w:p>
        </w:tc>
        <w:tc>
          <w:tcPr>
            <w:tcW w:type="dxa" w:w="4752"/>
            <w:vAlign w:val="center"/>
          </w:tcPr>
          <w:p>
            <w:pPr>
              <w:spacing w:before="280" w:after="280"/>
              <w:jc w:val="center"/>
            </w:pPr>
            <w:r>
              <w:rPr>
                <w:b/>
                <w:color w:val="5B1933"/>
              </w:rPr>
              <w:t>CARD 6</w:t>
              <w:br/>
            </w:r>
            <w:r>
              <w:rPr>
                <w:sz w:val="26"/>
              </w:rPr>
              <w:t>Phone during kīrtana</w:t>
            </w:r>
          </w:p>
        </w:tc>
      </w:tr>
    </w:tbl>
    <w:p>
      <w:pPr>
        <w:pStyle w:val="Heading2"/>
      </w:pPr>
      <w:r>
        <w:t>Memory phrase</w:t>
      </w:r>
    </w:p>
    <w:tbl>
      <w:tblPr>
        <w:tblW w:type="auto" w:w="0"/>
        <w:tblLook w:firstColumn="1" w:firstRow="1" w:lastColumn="0" w:lastRow="0" w:noHBand="0" w:noVBand="1" w:val="04A0"/>
        <w:tblBorders>
          <w:top w:val="single" w:sz="10" w:color="E59B24"/>
          <w:left w:val="single" w:sz="10" w:color="E59B24"/>
          <w:bottom w:val="single" w:sz="10" w:color="E59B24"/>
          <w:right w:val="single" w:sz="10" w:color="E59B24"/>
          <w:insideH w:val="single" w:sz="10" w:color="E59B24"/>
          <w:insideV w:val="single" w:sz="10" w:color="E59B24"/>
        </w:tblBorders>
      </w:tblPr>
      <w:tblGrid>
        <w:gridCol w:w="9936"/>
      </w:tblGrid>
      <w:tr>
        <w:tc>
          <w:tcPr>
            <w:tcW w:type="dxa" w:w="9936"/>
            <w:shd w:fill="FFF8E8"/>
          </w:tcPr>
          <w:p>
            <w:pPr>
              <w:spacing w:before="240" w:after="240"/>
              <w:jc w:val="center"/>
            </w:pPr>
            <w:r>
              <w:rPr>
                <w:b/>
                <w:color w:val="5B1933"/>
                <w:sz w:val="36"/>
              </w:rPr>
              <w:t>Paraṁ vijayate śrī-kṛṣṇa-saṅkīrtanam.</w:t>
            </w:r>
          </w:p>
        </w:tc>
      </w:tr>
    </w:tbl>
    <w:p>
      <w:pPr>
        <w:jc w:val="center"/>
      </w:pPr>
      <w:r>
        <w:rPr>
          <w:i/>
          <w:color w:val="4F7C78"/>
          <w:sz w:val="22"/>
        </w:rPr>
        <w:t>Cut on the dashed borders. Keep each card intact.</w:t>
      </w:r>
    </w:p>
    <w:tbl>
      <w:tblPr>
        <w:tblW w:type="auto" w:w="0"/>
        <w:jc w:val="center"/>
        <w:tblLayout w:type="fixed"/>
        <w:tblLook w:firstColumn="1" w:firstRow="1" w:lastColumn="0" w:lastRow="0" w:noHBand="0" w:noVBand="1" w:val="04A0"/>
        <w:tblBorders>
          <w:top w:val="single" w:sz="8" w:color="4F7C78"/>
          <w:left w:val="single" w:sz="8" w:color="4F7C78"/>
          <w:bottom w:val="single" w:sz="8" w:color="4F7C78"/>
          <w:right w:val="single" w:sz="8" w:color="4F7C78"/>
          <w:insideH w:val="single" w:sz="8" w:color="4F7C78"/>
          <w:insideV w:val="single" w:sz="8" w:color="4F7C78"/>
        </w:tblBorders>
      </w:tblPr>
      <w:tblGrid>
        <w:gridCol w:w="1944"/>
        <w:gridCol w:w="8136"/>
      </w:tblGrid>
      <w:tr>
        <w:tc>
          <w:tcPr>
            <w:tcW w:type="dxa" w:w="4968"/>
            <w:shd w:fill="4F7C78"/>
            <w:tcMar>
              <w:top w:w="130" w:type="dxa"/>
              <w:start w:w="140" w:type="dxa"/>
              <w:bottom w:w="130" w:type="dxa"/>
              <w:end w:w="140" w:type="dxa"/>
            </w:tcMar>
            <w:vAlign w:val="center"/>
          </w:tcPr>
          <w:p>
            <w:pPr>
              <w:pStyle w:val="KUTUMBACalloutLabel"/>
              <w:jc w:val="center"/>
            </w:pPr>
            <w:r>
              <w:t>TEACHER NOTE</w:t>
            </w:r>
          </w:p>
        </w:tc>
        <w:tc>
          <w:tcPr>
            <w:tcW w:type="dxa" w:w="4968"/>
            <w:shd w:fill="E4F0ED"/>
            <w:tcMar>
              <w:top w:w="130" w:type="dxa"/>
              <w:start w:w="140" w:type="dxa"/>
              <w:bottom w:w="130" w:type="dxa"/>
              <w:end w:w="140" w:type="dxa"/>
            </w:tcMar>
            <w:vAlign w:val="center"/>
          </w:tcPr>
          <w:p>
            <w:pPr>
              <w:pStyle w:val="KUTUMBACalloutBody"/>
            </w:pPr>
            <w:r>
              <w:t>No ranking by volume; include full Śikṣāṣṭaka verse-1 source-language layer; invitation not contest.</w:t>
            </w:r>
          </w:p>
        </w:tc>
      </w:tr>
    </w:tbl>
    <w:p>
      <w:pPr>
        <w:spacing w:after="20"/>
      </w:pPr>
    </w:p>
    <w:p>
      <w:r>
        <w:br w:type="page"/>
      </w:r>
    </w:p>
    <w:p>
      <w:pPr>
        <w:pStyle w:val="Heading1"/>
      </w:pPr>
      <w:r>
        <w:t>Y05 — Memory phrase mat</w:t>
      </w:r>
    </w:p>
    <w:p>
      <w:pPr>
        <w:jc w:val="center"/>
      </w:pPr>
      <w:r>
        <w:t>Echo the saṅkīrtana memory line.</w:t>
      </w:r>
    </w:p>
    <w:p>
      <w:pPr>
        <w:jc w:val="center"/>
      </w:pPr>
      <w:r>
        <w:drawing>
          <wp:inline xmlns:a="http://schemas.openxmlformats.org/drawingml/2006/main" xmlns:pic="http://schemas.openxmlformats.org/drawingml/2006/picture">
            <wp:extent cx="5486400" cy="3657600"/>
            <wp:docPr id="5" name="Picture 5"/>
            <wp:cNvGraphicFramePr>
              <a:graphicFrameLocks noChangeAspect="1"/>
            </wp:cNvGraphicFramePr>
            <a:graphic>
              <a:graphicData uri="http://schemas.openxmlformats.org/drawingml/2006/picture">
                <pic:pic>
                  <pic:nvPicPr>
                    <pic:cNvPr id="0" name="memory-mat.png"/>
                    <pic:cNvPicPr/>
                  </pic:nvPicPr>
                  <pic:blipFill>
                    <a:blip r:embed="rId14"/>
                    <a:stretch>
                      <a:fillRect/>
                    </a:stretch>
                  </pic:blipFill>
                  <pic:spPr>
                    <a:xfrm>
                      <a:off x="0" y="0"/>
                      <a:ext cx="5486400" cy="3657600"/>
                    </a:xfrm>
                    <a:prstGeom prst="rect"/>
                  </pic:spPr>
                </pic:pic>
              </a:graphicData>
            </a:graphic>
          </wp:inline>
        </w:drawing>
      </w:r>
    </w:p>
    <w:p>
      <w:pPr>
        <w:pStyle w:val="Heading2"/>
      </w:pPr>
      <w:r>
        <w:t>Memory phrase</w:t>
      </w:r>
    </w:p>
    <w:tbl>
      <w:tblPr>
        <w:tblW w:type="auto" w:w="0"/>
        <w:tblLook w:firstColumn="1" w:firstRow="1" w:lastColumn="0" w:lastRow="0" w:noHBand="0" w:noVBand="1" w:val="04A0"/>
        <w:tblBorders>
          <w:top w:val="single" w:sz="10" w:color="E59B24"/>
          <w:left w:val="single" w:sz="10" w:color="E59B24"/>
          <w:bottom w:val="single" w:sz="10" w:color="E59B24"/>
          <w:right w:val="single" w:sz="10" w:color="E59B24"/>
          <w:insideH w:val="single" w:sz="10" w:color="E59B24"/>
          <w:insideV w:val="single" w:sz="10" w:color="E59B24"/>
        </w:tblBorders>
      </w:tblPr>
      <w:tblGrid>
        <w:gridCol w:w="9936"/>
      </w:tblGrid>
      <w:tr>
        <w:tc>
          <w:tcPr>
            <w:tcW w:type="dxa" w:w="9936"/>
            <w:shd w:fill="FFF8E8"/>
          </w:tcPr>
          <w:p>
            <w:pPr>
              <w:spacing w:before="240" w:after="240"/>
              <w:jc w:val="center"/>
            </w:pPr>
            <w:r>
              <w:rPr>
                <w:b/>
                <w:color w:val="5B1933"/>
                <w:sz w:val="36"/>
              </w:rPr>
              <w:t>Paraṁ vijayate śrī-kṛṣṇa-saṅkīrtanam.</w:t>
            </w:r>
          </w:p>
        </w:tc>
      </w:tr>
    </w:tbl>
    <w:p>
      <w:r>
        <w:t>CC Antya 20.12 · family week</w:t>
      </w:r>
    </w:p>
    <w:tbl>
      <w:tblPr>
        <w:tblW w:type="auto" w:w="0"/>
        <w:jc w:val="center"/>
        <w:tblLayout w:type="fixed"/>
        <w:tblLook w:firstColumn="1" w:firstRow="1" w:lastColumn="0" w:lastRow="0" w:noHBand="0" w:noVBand="1" w:val="04A0"/>
        <w:tblBorders>
          <w:top w:val="single" w:sz="8" w:color="2E3033"/>
          <w:left w:val="single" w:sz="8" w:color="2E3033"/>
          <w:bottom w:val="single" w:sz="8" w:color="2E3033"/>
          <w:right w:val="single" w:sz="8" w:color="2E3033"/>
          <w:insideH w:val="single" w:sz="8" w:color="2E3033"/>
          <w:insideV w:val="single" w:sz="8" w:color="2E3033"/>
        </w:tblBorders>
      </w:tblPr>
      <w:tblGrid>
        <w:gridCol w:w="1944"/>
        <w:gridCol w:w="8136"/>
      </w:tblGrid>
      <w:tr>
        <w:tc>
          <w:tcPr>
            <w:tcW w:type="dxa" w:w="4968"/>
            <w:shd w:fill="2E3033"/>
            <w:tcMar>
              <w:top w:w="130" w:type="dxa"/>
              <w:start w:w="140" w:type="dxa"/>
              <w:bottom w:w="130" w:type="dxa"/>
              <w:end w:w="140" w:type="dxa"/>
            </w:tcMar>
            <w:vAlign w:val="center"/>
          </w:tcPr>
          <w:p>
            <w:pPr>
              <w:pStyle w:val="KUTUMBACalloutLabel"/>
              <w:jc w:val="center"/>
            </w:pPr>
            <w:r>
              <w:t>RIGHTS NOTE</w:t>
            </w:r>
          </w:p>
        </w:tc>
        <w:tc>
          <w:tcPr>
            <w:tcW w:type="dxa" w:w="4968"/>
            <w:shd w:fill="EFF0F1"/>
            <w:tcMar>
              <w:top w:w="130" w:type="dxa"/>
              <w:start w:w="140" w:type="dxa"/>
              <w:bottom w:w="130" w:type="dxa"/>
              <w:end w:w="140" w:type="dxa"/>
            </w:tcMar>
            <w:vAlign w:val="center"/>
          </w:tcPr>
          <w:p>
            <w:pPr>
              <w:pStyle w:val="KUTUMBACalloutBody"/>
            </w:pPr>
            <w:r>
              <w:t>KUTUMBA-original framing; cited third-party material retains its own rights. Human/temple review remains EXTERNAL_OPEN.</w:t>
            </w:r>
          </w:p>
        </w:tc>
      </w:tr>
    </w:tbl>
    <w:p>
      <w:pPr>
        <w:spacing w:after="20"/>
      </w:pPr>
    </w:p>
    <w:sectPr w:rsidR="00FC693F" w:rsidRPr="0006063C" w:rsidSect="00034616">
      <w:headerReference w:type="default" r:id="rId9"/>
      <w:footerReference w:type="default" r:id="rId10"/>
      <w:pgSz w:w="12240" w:h="15840"/>
      <w:pgMar w:top="1008" w:right="1152" w:bottom="1037" w:left="1152"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eastAsia="Segoe UI" w:cs="Segoe UI"/>
        <w:b/>
        <w:color w:val="5B1933"/>
        <w:sz w:val="15"/>
      </w:rPr>
      <w:t xml:space="preserve">KUTUMBA • Families Growing in Krishna Consciousness  |  </w:t>
    </w:r>
    <w:r>
      <w:rPr>
        <w:rFonts w:ascii="Segoe UI" w:hAnsi="Segoe UI" w:eastAsia="Segoe UI" w:cs="Segoe UI"/>
        <w:color w:val="2E3033"/>
        <w:sz w:val="15"/>
      </w:rPr>
      <w:t xml:space="preserve">KUTUMBA-original framing; cited third-party material retains its own rights.  |  Page </w:t>
    </w:r>
    <w:r>
      <w:rPr>
        <w:rFonts w:ascii="Segoe UI" w:hAnsi="Segoe UI" w:eastAsia="Segoe UI" w:cs="Segoe UI"/>
        <w:sz w:val="15"/>
      </w:rPr>
      <w:fldChar w:fldCharType="begin"/>
      <w:instrText xml:space="preserve">PAGE</w:instrText>
      <w:fldChar w:fldCharType="separate"/>
      <w:t>1</w:t>
      <w:fldChar w:fldCharType="end"/>
    </w:r>
    <w:r>
      <w:rPr>
        <w:rFonts w:ascii="Segoe UI" w:hAnsi="Segoe UI" w:eastAsia="Segoe UI" w:cs="Segoe UI"/>
        <w:sz w:val="15"/>
      </w:rPr>
      <w:t xml:space="preserve"> of </w:t>
    </w:r>
    <w:r>
      <w:rPr>
        <w:rFonts w:ascii="Segoe UI" w:hAnsi="Segoe UI" w:eastAsia="Segoe UI" w:cs="Segoe UI"/>
        <w:sz w:val="15"/>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8" w:space="4" w:color="E59B24"/>
      </w:pBdr>
    </w:pPr>
    <w:r>
      <w:rPr>
        <w:rFonts w:ascii="Segoe UI" w:hAnsi="Segoe UI" w:eastAsia="Segoe UI" w:cs="Segoe UI"/>
        <w:b/>
        <w:color w:val="5B1933"/>
        <w:sz w:val="17"/>
      </w:rPr>
      <w:t xml:space="preserve">KUTUMBA  •  </w:t>
    </w:r>
    <w:r>
      <w:rPr>
        <w:rFonts w:ascii="Segoe UI" w:hAnsi="Segoe UI" w:eastAsia="Segoe UI" w:cs="Segoe UI"/>
        <w:color w:val="4F7C78"/>
        <w:sz w:val="17"/>
      </w:rPr>
      <w:t>C3-W4 • V13  |  Younger teacher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Segoe UI" w:hAnsi="Segoe UI" w:eastAsia="Segoe UI" w:cs="Segoe UI"/>
      <w:b w:val="0"/>
      <w:color w:val="2E30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Cambria" w:hAnsi="Cambria" w:eastAsia="Cambria" w:cs="Cambria"/>
      <w:b/>
      <w:bCs/>
      <w:color w:val="5B1933"/>
      <w:sz w:val="4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mbria" w:hAnsi="Cambria" w:eastAsia="Cambria" w:cs="Cambria"/>
      <w:b/>
      <w:bCs/>
      <w:color w:val="7A263A"/>
      <w:sz w:val="30"/>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mbria" w:hAnsi="Cambria" w:eastAsia="Cambria" w:cs="Cambria"/>
      <w:b/>
      <w:bCs/>
      <w:color w:val="4F7C78"/>
      <w:sz w:val="24"/>
    </w:rPr>
  </w:style>
  <w:style w:type="paragraph" w:styleId="Heading4">
    <w:name w:val="heading 4"/>
    <w:basedOn w:val="Normal"/>
    <w:next w:val="Normal"/>
    <w:link w:val="Heading4Char"/>
    <w:uiPriority w:val="9"/>
    <w:semiHidden/>
    <w:unhideWhenUsed/>
    <w:qFormat/>
    <w:rsid w:val="00FC693F"/>
    <w:pPr>
      <w:keepNext/>
      <w:keepLines/>
      <w:spacing w:before="140" w:after="60"/>
      <w:outlineLvl w:val="3"/>
    </w:pPr>
    <w:rPr>
      <w:rFonts w:asciiTheme="majorHAnsi" w:eastAsiaTheme="majorEastAsia" w:hAnsiTheme="majorHAnsi" w:cstheme="majorBidi" w:ascii="Cambria" w:hAnsi="Cambria" w:eastAsia="Cambria" w:cs="Cambria"/>
      <w:b/>
      <w:bCs/>
      <w:i/>
      <w:iCs/>
      <w:color w:val="5B1933"/>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ascii="Cambria" w:hAnsi="Cambria" w:eastAsia="Cambria" w:cs="Cambria"/>
      <w:b/>
      <w:color w:val="5B1933"/>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Theme="majorHAnsi" w:eastAsiaTheme="majorEastAsia" w:hAnsiTheme="majorHAnsi" w:cstheme="majorBidi" w:ascii="Segoe UI" w:hAnsi="Segoe UI" w:eastAsia="Segoe UI" w:cs="Segoe UI"/>
      <w:b w:val="0"/>
      <w:i/>
      <w:iCs/>
      <w:color w:val="4F7C78"/>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libri" w:hAnsi="Calibri" w:eastAsia="Calibri" w:cs="Calibri"/>
      <w:b w:val="0"/>
      <w:color w:val="2E3033"/>
      <w:sz w:val="21"/>
    </w:rPr>
  </w:style>
  <w:style w:type="paragraph" w:styleId="ListBullet2">
    <w:name w:val="List Bullet 2"/>
    <w:basedOn w:val="Normal"/>
    <w:uiPriority w:val="99"/>
    <w:unhideWhenUsed/>
    <w:rsid w:val="00326F90"/>
    <w:pPr>
      <w:numPr>
        <w:numId w:val="2"/>
      </w:numPr>
      <w:spacing w:after="60"/>
      <w:contextualSpacing/>
    </w:pPr>
    <w:rPr>
      <w:rFonts w:ascii="Calibri" w:hAnsi="Calibri" w:eastAsia="Calibri" w:cs="Calibri"/>
      <w:b w:val="0"/>
      <w:color w:val="2E3033"/>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Calibri" w:hAnsi="Calibri" w:eastAsia="Calibri" w:cs="Calibri"/>
      <w:b w:val="0"/>
      <w:color w:val="2E3033"/>
      <w:sz w:val="21"/>
    </w:rPr>
  </w:style>
  <w:style w:type="paragraph" w:styleId="ListNumber2">
    <w:name w:val="List Number 2"/>
    <w:basedOn w:val="Normal"/>
    <w:uiPriority w:val="99"/>
    <w:unhideWhenUsed/>
    <w:rsid w:val="0029639D"/>
    <w:pPr>
      <w:numPr>
        <w:numId w:val="6"/>
      </w:numPr>
      <w:spacing w:after="60"/>
      <w:contextualSpacing/>
    </w:pPr>
    <w:rPr>
      <w:rFonts w:ascii="Calibri" w:hAnsi="Calibri" w:eastAsia="Calibri" w:cs="Calibri"/>
      <w:b w:val="0"/>
      <w:color w:val="2E3033"/>
      <w:sz w:val="21"/>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before="100" w:after="140"/>
      <w:ind w:left="360" w:right="216"/>
    </w:pPr>
    <w:rPr>
      <w:rFonts w:ascii="Cambria" w:hAnsi="Cambria" w:eastAsia="Cambria" w:cs="Cambria"/>
      <w:b w:val="0"/>
      <w:i/>
      <w:iCs/>
      <w:color w:val="5B1933"/>
      <w:sz w:val="2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Segoe UI" w:hAnsi="Segoe UI" w:eastAsia="Segoe UI" w:cs="Segoe UI"/>
      <w:b/>
      <w:bCs/>
      <w:color w:val="4F7C78"/>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UTUMBAEyebrow">
    <w:name w:val="KUTUMBA Eyebrow"/>
    <w:pPr>
      <w:spacing w:after="80"/>
    </w:pPr>
    <w:rPr>
      <w:rFonts w:ascii="Segoe UI" w:hAnsi="Segoe UI" w:eastAsia="Segoe UI" w:cs="Segoe UI"/>
      <w:b/>
      <w:color w:val="E59B24"/>
      <w:sz w:val="18"/>
    </w:rPr>
  </w:style>
  <w:style w:type="paragraph" w:customStyle="1" w:styleId="KUTUMBAMeta">
    <w:name w:val="KUTUMBA Meta"/>
    <w:pPr>
      <w:spacing w:after="80"/>
    </w:pPr>
    <w:rPr>
      <w:rFonts w:ascii="Segoe UI" w:hAnsi="Segoe UI" w:eastAsia="Segoe UI" w:cs="Segoe UI"/>
      <w:b w:val="0"/>
      <w:color w:val="4F7C78"/>
      <w:sz w:val="18"/>
    </w:rPr>
  </w:style>
  <w:style w:type="paragraph" w:customStyle="1" w:styleId="KUTUMBACalloutLabel">
    <w:name w:val="KUTUMBA Callout Label"/>
    <w:pPr>
      <w:spacing w:after="80"/>
    </w:pPr>
    <w:rPr>
      <w:rFonts w:ascii="Segoe UI" w:hAnsi="Segoe UI" w:eastAsia="Segoe UI" w:cs="Segoe UI"/>
      <w:b/>
      <w:color w:val="FFFFFF"/>
      <w:sz w:val="17"/>
    </w:rPr>
  </w:style>
  <w:style w:type="paragraph" w:customStyle="1" w:styleId="KUTUMBACalloutBody">
    <w:name w:val="KUTUMBA Callout Body"/>
    <w:pPr>
      <w:spacing w:after="80"/>
    </w:pPr>
    <w:rPr>
      <w:rFonts w:ascii="Calibri" w:hAnsi="Calibri" w:eastAsia="Calibri" w:cs="Calibri"/>
      <w:b w:val="0"/>
      <w:color w:val="2E3033"/>
      <w:sz w:val="20"/>
    </w:rPr>
  </w:style>
  <w:style w:type="paragraph" w:customStyle="1" w:styleId="KUTUMBAVerseDevanagari">
    <w:name w:val="KUTUMBA Verse Devanagari"/>
    <w:pPr>
      <w:keepLines/>
      <w:spacing w:after="80"/>
    </w:pPr>
    <w:rPr>
      <w:rFonts w:ascii="Nirmala UI" w:hAnsi="Nirmala UI" w:eastAsia="Nirmala UI" w:cs="Nirmala UI"/>
      <w:b w:val="0"/>
      <w:color w:val="5B1933"/>
      <w:sz w:val="30"/>
    </w:rPr>
  </w:style>
  <w:style w:type="paragraph" w:customStyle="1" w:styleId="KUTUMBAVerseIAST">
    <w:name w:val="KUTUMBA Verse IAST"/>
    <w:pPr>
      <w:keepLines/>
      <w:spacing w:after="80"/>
    </w:pPr>
    <w:rPr>
      <w:rFonts w:ascii="Calibri" w:hAnsi="Calibri" w:eastAsia="Calibri" w:cs="Calibri"/>
      <w:b w:val="0"/>
      <w:color w:val="4F7C78"/>
      <w:sz w:val="21"/>
    </w:rPr>
  </w:style>
  <w:style w:type="paragraph" w:customStyle="1" w:styleId="KUTUMBARights">
    <w:name w:val="KUTUMBA Rights"/>
    <w:pPr>
      <w:spacing w:after="80"/>
    </w:pPr>
    <w:rPr>
      <w:rFonts w:ascii="Segoe UI" w:hAnsi="Segoe UI" w:eastAsia="Segoe UI" w:cs="Segoe UI"/>
      <w:b w:val="0"/>
      <w:color w:val="2E3033"/>
      <w:sz w:val="16"/>
    </w:rPr>
  </w:style>
  <w:style w:type="table" w:customStyle="1" w:styleId="KUTUMBATable">
    <w:name w:val="KUTUMBA Table"/>
    <w:rPr>
      <w:rFonts w:ascii="Calibri" w:hAnsi="Calibri"/>
      <w:color w:val="2E303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