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MELA — Family Handout</w:t>
      </w:r>
    </w:p>
    <w:p>
      <w:pPr>
        <w:pStyle w:val="Subtitle"/>
        <w:jc w:val="center"/>
      </w:pPr>
      <w:r>
        <w:t>Family take-home and practice sheet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MELA • Six-Month Reflection / Family Mela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Mela planning date 2027-03-06.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First-six-month review chain</w:t>
      </w:r>
    </w:p>
    <w:p>
      <w:r>
        <w:t>Source URL: https://vedabase.io/en/library/sb/1/2/18/</w:t>
      </w:r>
    </w:p>
    <w:p>
      <w:r>
        <w:br w:type="page"/>
      </w:r>
    </w:p>
    <w:p>
      <w:pPr>
        <w:pStyle w:val="Heading1"/>
      </w:pPr>
      <w:r>
        <w:t>Family Home Practice</w:t>
      </w:r>
    </w:p>
    <w:p>
      <w:r>
        <w:rPr>
          <w:b/>
        </w:rPr>
        <w:t>Memory:</w:t>
      </w:r>
      <w:r>
        <w:t xml:space="preserve"> Continue · Review · Strengthen — without comparison. Write three private lines: Continue / Review / Strengthen. Optional look at Gaura Pūrṇimā lookahead file — no forced attendance claim.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MELA • V13  |  Families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