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Rights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Rights</w:t>
      </w:r>
    </w:p>
    <w:p>
      <w:pPr>
        <w:pStyle w:val="KUTUMBARights"/>
      </w:pPr>
      <w:r>
        <w:t>Canonical source: C:/Development/Workspace/DevotionalRepo/kutumba-family-program/11-weekly-program-library/first-six-months/V13-RIGHTS-AND-ATTRIBUTION.md • SHA-256: 2d3074ad583aa86f2ba9b3ac91f93304d48e04184eedf6fd9947ede816645f45</w:t>
      </w:r>
    </w:p>
    <w:p>
      <w:r>
        <w:t xml:space="preserve">KUTUMBA-original framing and teaching meanings. Cited Sanskrit/IAST from VedaBase display; no full BBT purport reproduction in packets. Original programmatic printable line art under each module </w:t>
      </w:r>
      <w:r>
        <w:rPr>
          <w:rFonts w:ascii="Consolas" w:hAnsi="Consolas"/>
          <w:color w:val="7A263A"/>
          <w:sz w:val="18"/>
        </w:rPr>
        <w:t>visuals/v13/</w:t>
      </w:r>
      <w:r>
        <w:t>. No unauthorized ISKCON logos. No identifiable real-person photos as proof. Third-party material retains its own rights.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