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Teacher Handbook</w:t>
      </w:r>
    </w:p>
    <w:p>
      <w:pPr>
        <w:pStyle w:val="Subtitle"/>
        <w:jc w:val="center"/>
      </w:pPr>
      <w:r>
        <w:t>First Six Months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V13 Master Library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— human/temple gates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 Handbook</w:t>
      </w:r>
    </w:p>
    <w:p>
      <w:pPr>
        <w:pStyle w:val="KUTUMBARights"/>
      </w:pPr>
      <w:r>
        <w:t>Canonical source: C:/Development/Workspace/DevotionalRepo/kutumba-family-program/11-weekly-program-library/first-six-months/V13-TEACHER-HANDBOOK.md • SHA-256: c634c1a24b4d101646bce1a62e64d9286b86052f45cee450206a414046635c40</w:t>
      </w:r>
    </w:p>
    <w:p>
      <w:pPr>
        <w:pStyle w:val="Heading2"/>
      </w:pPr>
      <w:r>
        <w:t>Source hierarchy</w:t>
      </w:r>
    </w:p>
    <w:p>
      <w:r>
        <w:t>Tier-1: Prabhupāda / VedaBase. Tier-2: official ISKCON educational resources when attributed. Academic sources only for pedagogy/habits — never “science proves soul/karma/Kṛṣṇa.”</w:t>
      </w:r>
    </w:p>
    <w:p>
      <w:pPr>
        <w:pStyle w:val="Heading2"/>
      </w:pPr>
      <w:r>
        <w:t>No speculation</w:t>
      </w:r>
    </w:p>
    <w:p>
      <w:r>
        <w:t>Use the deferral line. Week claim registers list must-not-claim items.</w:t>
      </w:r>
    </w:p>
    <w:p>
      <w:pPr>
        <w:pStyle w:val="Heading2"/>
      </w:pPr>
      <w:r>
        <w:t>Age bands</w:t>
      </w:r>
    </w:p>
    <w:p>
      <w:r>
        <w:t>K–2: large type, movement, craft, memory phrase. Grades 4–5: observation, scenarios, keys. Parents: private reflection allowed; no public sādhana ranking.</w:t>
      </w:r>
    </w:p>
    <w:p>
      <w:pPr>
        <w:pStyle w:val="Heading2"/>
      </w:pPr>
      <w:r>
        <w:t>Behavior / correction</w:t>
      </w:r>
    </w:p>
    <w:p>
      <w:r>
        <w:t>Use house rules and private correction ladder. No public shame.</w:t>
      </w:r>
    </w:p>
    <w:p>
      <w:pPr>
        <w:pStyle w:val="Heading2"/>
      </w:pPr>
      <w:r>
        <w:t>Track timing</w:t>
      </w:r>
    </w:p>
    <w:p>
      <w:r>
        <w:t>Normal weeks: parallel 2:30–3:10; reunify 3:10.</w:t>
      </w:r>
    </w:p>
    <w:p>
      <w:pPr>
        <w:pStyle w:val="Heading2"/>
      </w:pPr>
      <w:r>
        <w:t>Printables &amp; keys</w:t>
      </w:r>
    </w:p>
    <w:p>
      <w:r>
        <w:t>Participant pages first; TEACHER-ONLY separated.</w:t>
      </w:r>
    </w:p>
    <w:p>
      <w:pPr>
        <w:pStyle w:val="Heading2"/>
      </w:pPr>
      <w:r>
        <w:t>Safeguarding / privacy</w:t>
      </w:r>
    </w:p>
    <w:p>
      <w:r>
        <w:t>Parents onsite. No recording of private reflections into Git. No private family data in repo.</w:t>
      </w:r>
    </w:p>
    <w:p>
      <w:pPr>
        <w:pStyle w:val="Heading2"/>
      </w:pPr>
      <w:r>
        <w:t>Home practice</w:t>
      </w:r>
    </w:p>
    <w:p>
      <w:r>
        <w:t>Tiny, clear, noncompetitive.</w:t>
      </w:r>
    </w:p>
    <w:p>
      <w:pPr>
        <w:pStyle w:val="Heading2"/>
      </w:pPr>
      <w:r>
        <w:t>Integration / presentation</w:t>
      </w:r>
    </w:p>
    <w:p>
      <w:r>
        <w:t>Noncompetitive; timed; retrieval + misconception correction; no major new doctrine on W6 nights.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V13 Master  |  Owner/Teacher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