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Verse/Source Index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Verse/Source Index</w:t>
      </w:r>
    </w:p>
    <w:p>
      <w:pPr>
        <w:pStyle w:val="KUTUMBARights"/>
      </w:pPr>
      <w:r>
        <w:t>Canonical source: C:/Development/Workspace/DevotionalRepo/kutumba-family-program/build-evidence/V13-VERSE-CHAIN.md • SHA-256: b3ff611e6e6ba6a973fe45b7bebdadb006de585f431435fb2472aec596df94bb</w:t>
      </w:r>
    </w:p>
    <w:p>
      <w:r>
        <w:t>Planning references only. Local Harrisburg tithi remains EXTERNAL_OPEN.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Primary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KUTUMBA, and Why Are We Here? (FROZEN)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ŚB 1.2.18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https://vedabase.io/en/library/sb/1/2/18/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 Am Not This Body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2.13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https://vedabase.io/en/library/bg/2/13/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Nature of the Soul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2.20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https://vedabase.io/en/library/bg/2/20/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Why Human Life Is Rare and Valuable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ŚB 11.9.29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https://vedabase.io/en/library/sb/11/9/29/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Temporary World and Permanent Happiness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8.15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https://vedabase.io/en/library/bg/8/15/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Integration: Who Am I, and How Should Our Family Live?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Review W1–W5 chain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—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Kārtika / Dāmodara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ŚB 10.9.18 (ch. 10.9 frame; +10.9.19 support)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https://vedabase.io/en/library/sb/10/9/18/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Action and Reaction: How Karma Binds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3.9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https://vedabase.io/en/library/bg/3/9/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Free Will and Responsibility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18.63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https://vedabase.io/en/library/bg/18/63/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Birth, Death and Reincarnation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2.22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https://vedabase.io/en/library/bg/2/22/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Three Modes of Material Nature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14.5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https://vedabase.io/en/library/bg/14/5/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Māyā: Decorating the Prison Cell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7.14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https://vedabase.io/en/library/bg/7/14/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C2-W6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Integration: Choice, Consequence and the Modes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C2 chain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—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C2-U2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Gītā Jayantī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18.65 (whole-Gītā map frame)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https://vedabase.io/en/library/bg/18/65/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God?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5.29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https://vedabase.io/en/library/bg/5/29/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Kṛṣṇa?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7.7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https://vedabase.io/en/library/bg/7/7/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Guru, Sādhu and Śāstra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4.34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https://vedabase.io/en/library/bg/4/34/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Śrī Caitanya Mahāprabhu and the Holy Name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CC Antya 20.12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https://vedabase.io/en/library/cc/antya/20/12/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Nine Processes of Bhakti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ŚB 7.5.23–24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https://vedabase.io/en/library/sb/7/5/23/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Review C3 chain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—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Trayodaśī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CC Ādi 5.208 (+ Madhya 1.25 support)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https://vedabase.io/en/library/cc/adi/5/208/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Six-Month Reflection / Family Mela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Review first-six-month chain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Special source notes</w:t>
      </w:r>
    </w:p>
    <w:p>
      <w:pPr>
        <w:pStyle w:val="ListBullet"/>
      </w:pPr>
      <w:r>
        <w:t>C1-W4 Mṛgāri narrative, if used: CC Madhya 24.229–282 — not ŚB.</w:t>
      </w:r>
    </w:p>
    <w:p>
      <w:pPr>
        <w:pStyle w:val="ListBullet"/>
      </w:pPr>
      <w:r>
        <w:t>C3-W5 must include both 7.5.23 and 7.5.24 when citing 23–24.</w:t>
      </w:r>
    </w:p>
    <w:p>
      <w:pPr>
        <w:pStyle w:val="ListBullet"/>
      </w:pPr>
      <w:r>
        <w:t>C3-W4 must include full Śikṣāṣṭaka verse-1 source-language layer for CC Antya 20.12.</w:t>
      </w:r>
    </w:p>
    <w:p>
      <w:pPr>
        <w:pStyle w:val="ListBullet"/>
      </w:pPr>
      <w:r>
        <w:t>Festival exact tithi/fasting: EXTERNAL_OPEN pending local calendar.</w:t>
      </w:r>
    </w:p>
    <w:p>
      <w:pPr>
        <w:pStyle w:val="ListBullet"/>
      </w:pPr>
      <w:r>
        <w:t>C1-U1 primary locked to ŚB 10.9.18 (+ 10.9 chapter frame / 10.9.19 support); Oct 31 remains planning Saturday only.</w:t>
      </w:r>
    </w:p>
    <w:p>
      <w:pPr>
        <w:pStyle w:val="ListBullet"/>
      </w:pPr>
      <w:r>
        <w:t>C2-U2 primary locked to BG 18.65; 2026-12-19 candidate vs published example 2026-12-20.</w:t>
      </w:r>
    </w:p>
    <w:p>
      <w:pPr>
        <w:pStyle w:val="ListBullet"/>
      </w:pPr>
      <w:r>
        <w:t>C3-U3 primary locked to CC Ādi 5.208 (+ Madhya 1.25 support); age-sensitive Jagāi-Mādhāi (no graphic violence).</w:t>
      </w:r>
    </w:p>
    <w:p>
      <w:pPr>
        <w:pStyle w:val="ListBullet"/>
      </w:pPr>
      <w:r>
        <w:t>MELA is not a tithi; owner-select 2027-02-27 or 2027-03-06; Gaura Pūrṇimā lookahead only (example 2027-03-22).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