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KUTUMBA C1 Teacher Handbook</w:t>
      </w:r>
    </w:p>
    <w:p>
      <w:r>
        <w:t>Combines:</w:t>
      </w:r>
    </w:p>
    <w:p>
      <w:r>
        <w:t>- Teacher readiness standard</w:t>
      </w:r>
    </w:p>
    <w:p>
      <w:r>
        <w:t>- Pre-week checklist</w:t>
      </w:r>
    </w:p>
    <w:p>
      <w:r>
        <w:t>- Child house rules + correction ladder</w:t>
      </w:r>
    </w:p>
    <w:p>
      <w:r>
        <w:t>- Opening mantras usage notes</w:t>
      </w:r>
    </w:p>
    <w:p>
      <w:r>
        <w:t>- Saturday flow</w:t>
      </w:r>
    </w:p>
    <w:p>
      <w:r>
        <w:t>- Deferral line</w:t>
      </w:r>
    </w:p>
    <w:p>
      <w:r>
        <w:t>- Privacy boundaries</w:t>
      </w:r>
    </w:p>
    <w:p>
      <w:r>
        <w:t>Teachers teach from week packets. Do not invent doctrine. Do not claim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