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What Is KUTUMBA, and Why Are We Here?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Document metadata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Week Code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Week Title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What Is KUTUMBA, and Why Are We Here?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Derived From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{"canonical_file": "03-first-six-months/FIRST-SIX-MONTH-DETAILED-CURRICULUM.md", "source_id": "KUT-SRC-0004", "source_hash": "7123781051c732bc82baee084284d0bcac6c6b5011baf12d07216c2e503a7f58", "extraction_heading": "C1-W1 — What Is KUTUMBA, and Why Are We Here?", "extraction_date": "2026-06-30", "component": "children-lesson.md"}</w:t>
            </w:r>
          </w:p>
        </w:tc>
      </w:tr>
    </w:tbl>
    <w:p>
      <w:pPr>
        <w:spacing w:after="40"/>
      </w:pPr>
    </w:p>
    <w:p>
      <w:pPr>
        <w:pStyle w:val="Heading2"/>
      </w:pPr>
      <w:r>
        <w:t>Children’s Parallel Lesson — 40 Minutes</w:t>
      </w:r>
    </w:p>
    <w:p>
      <w:r>
        <w:rPr>
          <w:i/>
        </w:rPr>
        <w:t>Common child timing: 0–5 opening/recall; 5–15 story or text; 15–28 movement, art, game or investigation; 28–35 verse/recall; 35–40 cleanup and family transition.</w:t>
      </w:r>
    </w:p>
    <w:p>
      <w:pPr>
        <w:pStyle w:val="Heading3"/>
      </w:pPr>
      <w:r>
        <w:t>Age 4-6</w:t>
      </w:r>
    </w:p>
    <w:p>
      <w:pPr>
        <w:pStyle w:val="ListBullet"/>
      </w:pPr>
      <w:r>
        <w:t>Story focus: young Nārada helps saintly visitors and listens carefully.</w:t>
      </w:r>
    </w:p>
    <w:p>
      <w:pPr>
        <w:pStyle w:val="ListBullet"/>
      </w:pPr>
      <w:r>
        <w:t>Movement game: four corners labeled Hear, Chant, Serve and Respect. Children move to the corner named in a short scenario.</w:t>
      </w:r>
    </w:p>
    <w:p>
      <w:pPr>
        <w:pStyle w:val="ListBullet"/>
      </w:pPr>
      <w:r>
        <w:t>Craft: family garden sheet; place one paper seed for each devotional action the family wants to grow.</w:t>
      </w:r>
    </w:p>
    <w:p>
      <w:pPr>
        <w:pStyle w:val="ListBullet"/>
      </w:pPr>
      <w:r>
        <w:t>Recall phrase: ‘We help each other remember Kṛṣṇa.’</w:t>
      </w:r>
    </w:p>
    <w:p>
      <w:pPr>
        <w:pStyle w:val="Heading3"/>
      </w:pPr>
      <w:r>
        <w:t>Age 7-9</w:t>
      </w:r>
    </w:p>
    <w:p>
      <w:pPr>
        <w:pStyle w:val="ListBullet"/>
      </w:pPr>
      <w:r>
        <w:t>Sequence cards: Nārada serves, hears, honors prasāda, remembers and grows.</w:t>
      </w:r>
    </w:p>
    <w:p>
      <w:pPr>
        <w:pStyle w:val="ListBullet"/>
      </w:pPr>
      <w:r>
        <w:t>Team task: sort activities into ‘helps our bhakti garden,’ ‘can be offered to Kṛṣṇa,’ and ‘needs a boundary.’</w:t>
      </w:r>
    </w:p>
    <w:p>
      <w:pPr>
        <w:pStyle w:val="ListBullet"/>
      </w:pPr>
      <w:r>
        <w:t>Create a one-week family practice bookmark with one action and two check boxes.</w:t>
      </w:r>
    </w:p>
    <w:p>
      <w:pPr>
        <w:pStyle w:val="ListBullet"/>
      </w:pPr>
      <w:r>
        <w:t>Verse phrase: nityaṁ bhāgavata-sevayā.</w:t>
      </w:r>
    </w:p>
    <w:p>
      <w:pPr>
        <w:pStyle w:val="Heading3"/>
      </w:pPr>
      <w:r>
        <w:t>Age 10-13</w:t>
      </w:r>
    </w:p>
    <w:p>
      <w:pPr>
        <w:pStyle w:val="ListBullet"/>
      </w:pPr>
      <w:r>
        <w:t>Read a short facilitator-prepared excerpt summary of ŚB 1.2.18 and identify the repeated actions and promised result.</w:t>
      </w:r>
    </w:p>
    <w:p>
      <w:pPr>
        <w:pStyle w:val="ListBullet"/>
      </w:pPr>
      <w:r>
        <w:t>Discuss the difference between attendance, belonging and actual practice.</w:t>
      </w:r>
    </w:p>
    <w:p>
      <w:pPr>
        <w:pStyle w:val="ListBullet"/>
      </w:pPr>
      <w:r>
        <w:t>Analyze two mini-cases: spiritual competition and passive spectatorship.</w:t>
      </w:r>
    </w:p>
    <w:p>
      <w:pPr>
        <w:pStyle w:val="ListBullet"/>
      </w:pPr>
      <w:r>
        <w:t>Choose one youth service that is helpful but does not make the youth responsible for adult safety or discipline.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 and teaching aids are identified as such. Scriptural and third-party sources remain subject to their respective rights; this document does not claim BBT or ISKCON ownership.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 |  Children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