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8E8"/>
  <w:body>
    <w:p>
      <w:pPr>
        <w:spacing w:before="936"/>
        <w:jc w:val="center"/>
      </w:pPr>
      <w:r>
        <w:rPr>
          <w:rFonts w:ascii="Segoe UI" w:hAnsi="Segoe UI" w:eastAsia="Segoe UI" w:cs="Segoe UI"/>
          <w:b/>
          <w:color w:val="E59B24"/>
          <w:sz w:val="36"/>
        </w:rPr>
        <w:t>KUTUMBA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880"/>
      </w:tblGrid>
      <w:tr>
        <w:tc>
          <w:tcPr>
            <w:tcW w:type="dxa" w:w="9936"/>
            <w:shd w:fill="5B1933"/>
          </w:tcPr>
          <w:p>
            <w:r/>
          </w:p>
        </w:tc>
      </w:tr>
    </w:tbl>
    <w:p>
      <w:pPr>
        <w:pStyle w:val="Title"/>
        <w:spacing w:before="792"/>
        <w:jc w:val="center"/>
      </w:pPr>
      <w:r>
        <w:t>C1 Verse Pack</w:t>
      </w:r>
    </w:p>
    <w:p>
      <w:pPr>
        <w:pStyle w:val="Subtitle"/>
        <w:jc w:val="center"/>
      </w:pPr>
      <w:r>
        <w:t>Families Growing in Krishna Consciousness</w:t>
      </w:r>
    </w:p>
    <w:p>
      <w:pPr>
        <w:spacing w:before="360"/>
        <w:jc w:val="center"/>
      </w:pPr>
      <w:r>
        <w:rPr>
          <w:rFonts w:ascii="Cambria" w:hAnsi="Cambria" w:eastAsia="Cambria" w:cs="Cambria"/>
          <w:b/>
          <w:color w:val="7A263A"/>
          <w:sz w:val="24"/>
        </w:rPr>
        <w:t>C1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E3CA91"/>
          <w:left w:val="single" w:sz="5" w:color="E3CA91"/>
          <w:bottom w:val="single" w:sz="5" w:color="E3CA91"/>
          <w:right w:val="single" w:sz="5" w:color="E3CA91"/>
          <w:insideH w:val="single" w:sz="5" w:color="E3CA91"/>
          <w:insideV w:val="single" w:sz="5" w:color="E3CA91"/>
        </w:tblBorders>
      </w:tblPr>
      <w:tblGrid>
        <w:gridCol w:w="8352"/>
      </w:tblGrid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F8E8BF"/>
          </w:tcPr>
          <w:p>
            <w:pPr>
              <w:jc w:val="center"/>
            </w:pPr>
            <w:r>
              <w:rPr>
                <w:b/>
              </w:rPr>
              <w:t>V12  •  Families Growing in Krishna Consciousness</w:t>
              <w:br/>
              <w:t>Program Director: Swapnil Patil</w:t>
            </w:r>
          </w:p>
        </w:tc>
      </w:tr>
      <w:tr>
        <w:tc>
          <w:tcPr>
            <w:tcW w:type="dxa" w:w="9936"/>
            <w:tcMar>
              <w:top w:w="130" w:type="dxa"/>
              <w:start w:w="180" w:type="dxa"/>
              <w:bottom w:w="130" w:type="dxa"/>
              <w:end w:w="180" w:type="dxa"/>
            </w:tcMar>
            <w:vAlign w:val="center"/>
            <w:shd w:fill="E4F0ED"/>
          </w:tcPr>
          <w:p>
            <w:pPr>
              <w:jc w:val="center"/>
            </w:pPr>
            <w:r>
              <w:rPr>
                <w:i/>
                <w:color w:val="5B1933"/>
              </w:rPr>
              <w:t>Internal founding-cohort teaching material — human/temple review EXTERNAL_OPEN</w:t>
            </w:r>
          </w:p>
        </w:tc>
      </w:tr>
    </w:tbl>
    <w:p>
      <w:pPr>
        <w:spacing w:before="1440"/>
        <w:jc w:val="center"/>
      </w:pPr>
      <w:r>
        <w:rPr>
          <w:rFonts w:ascii="Segoe UI" w:hAnsi="Segoe UI" w:eastAsia="Segoe UI" w:cs="Segoe UI"/>
          <w:color w:val="4F7C78"/>
          <w:sz w:val="18"/>
        </w:rPr>
        <w:t>KUTUMBA  |  Families Growing in Krishna Consciousness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1.2.18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नष्टप्रायेष्वभद्रेषु नित्यं भागवतसेवया । भगवत्युत्तमश्लोके भक्तिर्भवति नैष्ठिकी ॥ १८ ॥</w:t>
            </w:r>
          </w:p>
          <w:p>
            <w:pPr>
              <w:pStyle w:val="KUTUMBAVerseIAST"/>
            </w:pPr>
            <w:r>
              <w:rPr>
                <w:i/>
              </w:rPr>
              <w:t>naṣṭa-prāyeṣv abhadreṣu nityaṁ bhāgavata-sevayā / bhagavaty uttama-śloke bhaktir bhavati naiṣṭhikī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When we regularly hear and serve the Bhāgavata (book and devotee association), troubles in the heart are cleared and steady devotion to the Lord becomes established.</w:t>
            </w:r>
          </w:p>
          <w:p>
            <w:pPr>
              <w:pStyle w:val="KUTUMBARights"/>
            </w:pPr>
            <w:r>
              <w:t>Source: https://vedabase.io/en/library/sb/1/2/18/</w:t>
              <w:br/>
              <w:t>Rights/status: Sanskrit verse text from VedaBase display; KUTUMBA teaching meaning original; no full purport; no BBT English translation copied.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2.13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देहिनोऽस्मिन् यथा देहे कौमारं यौवनं जरा । तथा देहान्तरप्राप्तिर्धीरस्तत्र न मुह्यति ॥ १३ ॥</w:t>
            </w:r>
          </w:p>
          <w:p>
            <w:pPr>
              <w:pStyle w:val="KUTUMBAVerseIAST"/>
            </w:pPr>
            <w:r>
              <w:rPr>
                <w:i/>
              </w:rPr>
              <w:t>dehino ’smin yathā dehe kaumāraṁ yauvanaṁ jarā / tathā dehāntara-prāptir dhīras tatra na muhyati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Just as the embodied self passes through childhood, youth, and old age in one body, the sober person is not bewildered when the self passes to another body.</w:t>
            </w:r>
          </w:p>
          <w:p>
            <w:pPr>
              <w:pStyle w:val="KUTUMBARights"/>
            </w:pPr>
            <w:r>
              <w:t>Source: https://vedabase.io/en/library/bg/2/13/</w:t>
              <w:br/>
              <w:t>Rights/status: Sanskrit verse text from VedaBase display; KUTUMBA teaching meaning original; no full purport.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2.20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न जायते म्रियते वा कदाचिन्नायं भूत्वा भविता वा न भूयः । अजो नित्यः शाश्वतोऽयं पुराणो न हन्यते हन्यमाने शरीरे ॥ २० ॥</w:t>
            </w:r>
          </w:p>
          <w:p>
            <w:pPr>
              <w:pStyle w:val="KUTUMBAVerseIAST"/>
            </w:pPr>
            <w:r>
              <w:rPr>
                <w:i/>
              </w:rPr>
              <w:t>na jāyate mriyate vā kadācin nāyaṁ bhūtvā bhavitā vā na bhūyaḥ / ajo nityaḥ śāśvato ’yaṁ purāṇo na hanyate hanyamāne śarīre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The soul is never born and never dies; unborn, eternal, and everlasting — not destroyed when the body is destroyed.</w:t>
            </w:r>
          </w:p>
          <w:p>
            <w:pPr>
              <w:pStyle w:val="KUTUMBARights"/>
            </w:pPr>
            <w:r>
              <w:t>Source: https://vedabase.io/en/library/bg/2/20/</w:t>
              <w:br/>
              <w:t>Rights/status: Sanskrit verse text from VedaBase display; KUTUMBA teaching meaning original; no full purport.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ŚB 11.9.29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लब्ध्वा सुदुर्लभमिदं बहुसम्भवान्ते मानुष्यमर्थदमनित्यमपीह धीर: । तूर्णं यतेत न पतेदनुमृत्यु यावन्नि:श्रेयसाय विषय: खलु सर्वत: स्यात् ॥ २९ ॥</w:t>
            </w:r>
          </w:p>
          <w:p>
            <w:pPr>
              <w:pStyle w:val="KUTUMBAVerseIAST"/>
            </w:pPr>
            <w:r>
              <w:rPr>
                <w:i/>
              </w:rPr>
              <w:t>labdhvā su-durlabham idaṁ bahu-sambhavānte mānuṣyam artha-dam anityam apīha dhīraḥ / tūrṇaṁ yateta na pated anu-mṛtyu yāvan niḥśreyasāya viṣayaḥ khalu sarvataḥ syāt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After many births one obtains the rare human form — temporary yet able to give the highest purpose. A sober person should quickly endeavor for the ultimate good while this body lasts.</w:t>
            </w:r>
          </w:p>
          <w:p>
            <w:pPr>
              <w:pStyle w:val="KUTUMBARights"/>
            </w:pPr>
            <w:r>
              <w:t>Source: https://vedabase.io/en/library/sb/11/9/29/</w:t>
              <w:br/>
              <w:t>Rights/status: Sanskrit verse text from VedaBase display; KUTUMBA teaching meaning original; no full purport.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BG 8.15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मामुपेत्य पुनर्जन्म दु:खालयमशाश्वतम् । नाप्नुवन्ति महात्मान: संसिद्धिं परमां गता: ॥ १५ ॥</w:t>
            </w:r>
          </w:p>
          <w:p>
            <w:pPr>
              <w:pStyle w:val="KUTUMBAVerseIAST"/>
            </w:pPr>
            <w:r>
              <w:rPr>
                <w:i/>
              </w:rPr>
              <w:t>mām upetya punar janma duḥkhālayam aśāśvatam / nāpnuvanti mahātmānaḥ saṁsiddhiṁ paramāṁ gatāḥ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Having attained the Lord, great souls do not return again to this temporary world of misery; they have reached the highest perfection.</w:t>
            </w:r>
          </w:p>
          <w:p>
            <w:pPr>
              <w:pStyle w:val="KUTUMBARights"/>
            </w:pPr>
            <w:r>
              <w:t>Source: https://vedabase.io/en/library/bg/8/15/</w:t>
              <w:br/>
              <w:t>Rights/status: Sanskrit verse text from VedaBase display; KUTUMBA teaching meaning original; no full purport.</w:t>
            </w:r>
          </w:p>
        </w:tc>
      </w:tr>
    </w:tbl>
    <w:p>
      <w:pPr>
        <w:spacing w:after="40"/>
      </w:pP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4" w:color="C98916"/>
          <w:left w:val="single" w:sz="14" w:color="C98916"/>
          <w:bottom w:val="single" w:sz="14" w:color="C98916"/>
          <w:right w:val="single" w:sz="14" w:color="C98916"/>
          <w:insideH w:val="single" w:sz="14" w:color="C98916"/>
          <w:insideV w:val="single" w:sz="14" w:color="C98916"/>
        </w:tblBorders>
      </w:tblPr>
      <w:tblGrid>
        <w:gridCol w:w="9936"/>
      </w:tblGrid>
      <w:tr>
        <w:tc>
          <w:tcPr>
            <w:tcW w:type="dxa" w:w="9936"/>
            <w:shd w:fill="FFF8E8"/>
            <w:tcMar>
              <w:top w:w="180" w:type="dxa"/>
              <w:start w:w="220" w:type="dxa"/>
              <w:bottom w:w="180" w:type="dxa"/>
              <w:end w:w="220" w:type="dxa"/>
            </w:tcMar>
          </w:tcPr>
          <w:p>
            <w:pPr>
              <w:pStyle w:val="Heading3"/>
            </w:pPr>
            <w:r>
              <w:t>VERSE CARD  •  Cycle 1 review chain</w:t>
            </w:r>
          </w:p>
          <w:p>
            <w:pPr>
              <w:pStyle w:val="KUTUMBAVerseDevanagari"/>
            </w:pPr>
            <w:r>
              <w:rPr>
                <w:rFonts w:ascii="Nirmala UI" w:hAnsi="Nirmala UI" w:eastAsia="Nirmala UI" w:cs="Nirmala UI"/>
                <w:sz w:val="30"/>
              </w:rPr>
              <w:t>(review W1–W5 primary verses)</w:t>
            </w:r>
          </w:p>
          <w:p>
            <w:pPr>
              <w:pStyle w:val="KUTUMBAVerseIAST"/>
            </w:pPr>
            <w:r>
              <w:rPr>
                <w:i/>
              </w:rPr>
              <w:t>ŚB 1.2.18 · BG 2.13 · BG 2.20 · ŚB 11.9.29 · BG 8.15</w:t>
            </w:r>
          </w:p>
          <w:p>
            <w:r>
              <w:rPr>
                <w:b/>
                <w:color w:val="5B1933"/>
              </w:rPr>
              <w:t xml:space="preserve">KUTUMBA teaching meaning: </w:t>
            </w:r>
            <w:r>
              <w:t>Identity, purpose, and practice must form one coherent family life — reviewing the Cycle 1 chain with W5 as BG 8.15.</w:t>
            </w:r>
          </w:p>
          <w:p>
            <w:pPr>
              <w:pStyle w:val="KUTUMBARights"/>
            </w:pPr>
            <w:r>
              <w:t>Source: https://vedabase.io/en/library/sb/1/2/18/</w:t>
              <w:br/>
              <w:t>Rights/status: Review of prior week Sanskrit layers; KUTUMBA synthesis original.</w:t>
            </w:r>
          </w:p>
        </w:tc>
      </w:tr>
    </w:tbl>
    <w:p>
      <w:pPr>
        <w:spacing w:after="40"/>
      </w:pPr>
    </w:p>
    <w:p/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37" w:left="1152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egoe UI" w:hAnsi="Segoe UI" w:eastAsia="Segoe UI" w:cs="Segoe UI"/>
        <w:b/>
        <w:color w:val="5B1933"/>
        <w:sz w:val="15"/>
      </w:rPr>
      <w:t xml:space="preserve">KUTUMBA • Families Growing in Krishna Consciousness  |  </w:t>
    </w:r>
    <w:r>
      <w:rPr>
        <w:rFonts w:ascii="Segoe UI" w:hAnsi="Segoe UI" w:eastAsia="Segoe UI" w:cs="Segoe UI"/>
        <w:color w:val="2E3033"/>
        <w:sz w:val="15"/>
      </w:rPr>
      <w:t xml:space="preserve">KUTUMBA-original framing; cited third-party material retains its own rights.  |  Page </w:t>
    </w:r>
    <w:r>
      <w:rPr>
        <w:rFonts w:ascii="Segoe UI" w:hAnsi="Segoe UI" w:eastAsia="Segoe UI" w:cs="Segoe UI"/>
        <w:sz w:val="15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Segoe UI" w:hAnsi="Segoe UI" w:eastAsia="Segoe UI" w:cs="Segoe UI"/>
        <w:sz w:val="15"/>
      </w:rPr>
      <w:t xml:space="preserve"> of </w:t>
    </w:r>
    <w:r>
      <w:rPr>
        <w:rFonts w:ascii="Segoe UI" w:hAnsi="Segoe UI" w:eastAsia="Segoe UI" w:cs="Segoe UI"/>
        <w:sz w:val="15"/>
      </w:rPr>
      <w:fldChar w:fldCharType="begin"/>
      <w:instrText xml:space="preserve">NUMPAGES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8" w:space="4" w:color="E59B24"/>
      </w:pBdr>
    </w:pPr>
    <w:r>
      <w:rPr>
        <w:rFonts w:ascii="Segoe UI" w:hAnsi="Segoe UI" w:eastAsia="Segoe UI" w:cs="Segoe UI"/>
        <w:b/>
        <w:color w:val="5B1933"/>
        <w:sz w:val="17"/>
      </w:rPr>
      <w:t xml:space="preserve">KUTUMBA  •  </w:t>
    </w:r>
    <w:r>
      <w:rPr>
        <w:rFonts w:ascii="Segoe UI" w:hAnsi="Segoe UI" w:eastAsia="Segoe UI" w:cs="Segoe UI"/>
        <w:color w:val="4F7C78"/>
        <w:sz w:val="17"/>
      </w:rPr>
      <w:t>C1  |  verse-pack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displayBackgroundShape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Calibri" w:hAnsi="Calibri" w:eastAsia="Calibri"/>
      <w:b w:val="0"/>
      <w:color w:val="2E30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Cambria" w:hAnsi="Cambria" w:eastAsia="Cambria"/>
      <w:b/>
      <w:bCs/>
      <w:color w:val="5B193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Cambria" w:hAnsi="Cambria" w:eastAsia="Cambria"/>
      <w:b/>
      <w:bCs/>
      <w:color w:val="7A263A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mbria" w:hAnsi="Cambria" w:eastAsia="Cambria"/>
      <w:b/>
      <w:bCs/>
      <w:color w:val="4F7C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40" w:after="60"/>
      <w:outlineLvl w:val="3"/>
    </w:pPr>
    <w:rPr>
      <w:rFonts w:asciiTheme="majorHAnsi" w:eastAsiaTheme="majorEastAsia" w:hAnsiTheme="majorHAnsi" w:cstheme="majorBidi" w:ascii="Cambria" w:hAnsi="Cambria" w:eastAsia="Cambria"/>
      <w:b/>
      <w:bCs/>
      <w:i/>
      <w:iCs/>
      <w:color w:val="5B1933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Cambria" w:hAnsi="Cambria" w:eastAsia="Cambria"/>
      <w:b/>
      <w:color w:val="5B1933"/>
      <w:spacing w:val="5"/>
      <w:kern w:val="28"/>
      <w:sz w:val="6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/>
    </w:pPr>
    <w:rPr>
      <w:rFonts w:asciiTheme="majorHAnsi" w:eastAsiaTheme="majorEastAsia" w:hAnsiTheme="majorHAnsi" w:cstheme="majorBidi" w:ascii="Segoe UI" w:hAnsi="Segoe UI" w:eastAsia="Segoe UI"/>
      <w:b w:val="0"/>
      <w:i/>
      <w:iCs/>
      <w:color w:val="4F7C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60"/>
      <w:contextualSpacing/>
    </w:pPr>
    <w:rPr>
      <w:rFonts w:ascii="Calibri" w:hAnsi="Calibri" w:eastAsia="Calibri"/>
      <w:b w:val="0"/>
      <w:color w:val="2E3033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100" w:after="140"/>
      <w:ind w:left="360" w:right="216"/>
    </w:pPr>
    <w:rPr>
      <w:rFonts w:ascii="Cambria" w:hAnsi="Cambria" w:eastAsia="Cambria"/>
      <w:b w:val="0"/>
      <w:i/>
      <w:iCs/>
      <w:color w:val="5B1933"/>
      <w:sz w:val="2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Segoe UI" w:hAnsi="Segoe UI" w:eastAsia="Segoe UI"/>
      <w:b/>
      <w:bCs/>
      <w:color w:val="4F7C78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KUTUMBAEyebrow">
    <w:name w:val="KUTUMBA Eyebrow"/>
    <w:pPr>
      <w:spacing w:after="80"/>
    </w:pPr>
    <w:rPr>
      <w:rFonts w:ascii="Segoe UI" w:hAnsi="Segoe UI" w:eastAsia="Segoe UI"/>
      <w:b/>
      <w:color w:val="E59B24"/>
      <w:sz w:val="18"/>
    </w:rPr>
  </w:style>
  <w:style w:type="paragraph" w:customStyle="1" w:styleId="KUTUMBAMeta">
    <w:name w:val="KUTUMBA Meta"/>
    <w:pPr>
      <w:spacing w:after="80"/>
    </w:pPr>
    <w:rPr>
      <w:rFonts w:ascii="Segoe UI" w:hAnsi="Segoe UI" w:eastAsia="Segoe UI"/>
      <w:b w:val="0"/>
      <w:color w:val="4F7C78"/>
      <w:sz w:val="18"/>
    </w:rPr>
  </w:style>
  <w:style w:type="paragraph" w:customStyle="1" w:styleId="KUTUMBACalloutLabel">
    <w:name w:val="KUTUMBA Callout Label"/>
    <w:pPr>
      <w:spacing w:after="80"/>
    </w:pPr>
    <w:rPr>
      <w:rFonts w:ascii="Segoe UI" w:hAnsi="Segoe UI" w:eastAsia="Segoe UI"/>
      <w:b/>
      <w:color w:val="FFFFFF"/>
      <w:sz w:val="17"/>
    </w:rPr>
  </w:style>
  <w:style w:type="paragraph" w:customStyle="1" w:styleId="KUTUMBACalloutBody">
    <w:name w:val="KUTUMBA Callout Body"/>
    <w:pPr>
      <w:spacing w:after="80"/>
    </w:pPr>
    <w:rPr>
      <w:rFonts w:ascii="Calibri" w:hAnsi="Calibri" w:eastAsia="Calibri"/>
      <w:b w:val="0"/>
      <w:color w:val="2E3033"/>
      <w:sz w:val="20"/>
    </w:rPr>
  </w:style>
  <w:style w:type="paragraph" w:customStyle="1" w:styleId="KUTUMBAVerseDevanagari">
    <w:name w:val="KUTUMBA Verse Devanagari"/>
    <w:pPr>
      <w:keepLines/>
      <w:spacing w:after="80"/>
    </w:pPr>
    <w:rPr>
      <w:rFonts w:ascii="Nirmala UI" w:hAnsi="Nirmala UI" w:eastAsia="Nirmala UI"/>
      <w:b w:val="0"/>
      <w:color w:val="5B1933"/>
      <w:sz w:val="30"/>
    </w:rPr>
  </w:style>
  <w:style w:type="paragraph" w:customStyle="1" w:styleId="KUTUMBAVerseIAST">
    <w:name w:val="KUTUMBA Verse IAST"/>
    <w:pPr>
      <w:keepLines/>
      <w:spacing w:after="80"/>
    </w:pPr>
    <w:rPr>
      <w:rFonts w:ascii="Calibri" w:hAnsi="Calibri" w:eastAsia="Calibri"/>
      <w:b w:val="0"/>
      <w:color w:val="4F7C78"/>
      <w:sz w:val="21"/>
    </w:rPr>
  </w:style>
  <w:style w:type="paragraph" w:customStyle="1" w:styleId="KUTUMBARights">
    <w:name w:val="KUTUMBA Rights"/>
    <w:pPr>
      <w:spacing w:after="80"/>
    </w:pPr>
    <w:rPr>
      <w:rFonts w:ascii="Segoe UI" w:hAnsi="Segoe UI" w:eastAsia="Segoe UI"/>
      <w:b w:val="0"/>
      <w:color w:val="2E3033"/>
      <w:sz w:val="16"/>
    </w:rPr>
  </w:style>
  <w:style w:type="table" w:customStyle="1" w:styleId="KUTUMBATable">
    <w:name w:val="KUTUMBA Table"/>
    <w:rPr>
      <w:rFonts w:ascii="Calibri" w:hAnsi="Calibri"/>
      <w:color w:val="2E30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