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Choice, consequence, and modes form one practice. Primary: **Cycle 2 review (BG 18.63 center)** (https://vedabase.io/en/library/bg/18/63/).</w:t>
      </w:r>
    </w:p>
    <w:p>
      <w:r>
        <w:t>Can we synthesize choice and modes?</w:t>
      </w:r>
    </w:p>
    <w:p>
      <w:r>
        <w:t>1. Open https://vedabase.io/en/library/bg/18/63/;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Ranking families.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Cycle 2 review (BG 18.63 center) — https://vedabase.io/en/library/bg/18/63/</w:t>
      </w:r>
    </w:p>
    <w:p>
      <w:r>
        <w:t>- Devanāgarī: (review C2 primaries)</w:t>
      </w:r>
    </w:p>
    <w:p>
      <w:r>
        <w:t>- IAST: BG 3.9 · BG 18.63 · BG 2.22 · BG 14.5 · BG 7.14</w:t>
      </w:r>
    </w:p>
    <w:p>
      <w:r>
        <w:t>- KUTUMBA teaching meaning: Choice, consequence, and the modes must form one coherent family practice — synthesis, not new doctrine overload.</w:t>
      </w:r>
    </w:p>
    <w:p>
      <w:r>
        <w:t>- Rights: Review of prior week Sanskrit layers; KUTUMBA synthesis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C2-W6: Integration Night: Choice, Consequence and the Modes.  </w:t>
      </w:r>
    </w:p>
    <w:p>
      <w:r>
        <w:t xml:space="preserve">&gt; Essential question: Can we synthesize choice and modes?  </w:t>
      </w:r>
    </w:p>
    <w:p>
      <w:r>
        <w:t xml:space="preserve">&gt; From Cycle 2 review (BG 18.63 center): Choice, consequence, and the modes must form one coherent family practice — synthesis, not new doctrine overload.  </w:t>
      </w:r>
    </w:p>
    <w:p>
      <w:r>
        <w:t>&gt; We hear, practice in age bands, reunite, and take one small home step. We do not rank families.</w:t>
      </w:r>
    </w:p>
    <w:p>
      <w:r>
        <w:t>Choice, consequence, and modes form one practice.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Ranking families.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**Can we explain how action, choice, and modes shape our week?**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Integration Night: Choice, Consequence and the Modes;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family_share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https://vedabase.io/en/library/bg/18/63/. Write paraphrase of Cycle 2 review (BG 18.63 center)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