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C1-W1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C1-W1 Older Teacher Guide (Grades 4–5)</w:t>
      </w:r>
    </w:p>
    <w:p>
      <w:pPr>
        <w:pStyle w:val="Heading1"/>
      </w:pPr>
      <w:r>
        <w:t>Objective</w:t>
      </w:r>
    </w:p>
    <w:p>
      <w:r>
        <w:t>Explain: Protected weekly hearing plus home practice creates a path for family growth. using ŚB 1.2.18.</w:t>
      </w:r>
    </w:p>
    <w:p>
      <w:pPr>
        <w:pStyle w:val="Heading1"/>
      </w:pPr>
      <w:r>
        <w:t>Text observation</w:t>
      </w:r>
    </w:p>
    <w:p>
      <w:r>
        <w:t>Open https://vedabase.io/en/library/sb/1/2/18/.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Coming without home practice is enough.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C1-W1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