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ackground w:color="FFF8E8"/>
  <w:body>
    <w:p>
      <w:pPr>
        <w:spacing w:before="936"/>
        <w:jc w:val="center"/>
      </w:pPr>
      <w:r>
        <w:rPr>
          <w:rFonts w:ascii="Segoe UI" w:hAnsi="Segoe UI" w:eastAsia="Segoe UI" w:cs="Segoe UI"/>
          <w:b/>
          <w:color w:val="E59B24"/>
          <w:sz w:val="36"/>
        </w:rPr>
        <w:t>KUTUMBA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80"/>
      </w:tblGrid>
      <w:tr>
        <w:tc>
          <w:tcPr>
            <w:tcW w:type="dxa" w:w="9936"/>
            <w:shd w:fill="5B1933"/>
          </w:tcPr>
          <w:p>
            <w:r/>
          </w:p>
        </w:tc>
      </w:tr>
    </w:tbl>
    <w:p>
      <w:pPr>
        <w:pStyle w:val="Title"/>
        <w:spacing w:before="792"/>
        <w:jc w:val="center"/>
      </w:pPr>
      <w:r>
        <w:t>C1-W2 MAIN FACILITATOR GUIDE</w:t>
      </w:r>
    </w:p>
    <w:p>
      <w:pPr>
        <w:pStyle w:val="Subtitle"/>
        <w:jc w:val="center"/>
      </w:pPr>
      <w:r>
        <w:t>Families Growing in Krishna Consciousness</w:t>
      </w:r>
    </w:p>
    <w:p>
      <w:pPr>
        <w:spacing w:before="360"/>
        <w:jc w:val="center"/>
      </w:pPr>
      <w:r>
        <w:rPr>
          <w:rFonts w:ascii="Cambria" w:hAnsi="Cambria" w:eastAsia="Cambria" w:cs="Cambria"/>
          <w:b/>
          <w:color w:val="7A263A"/>
          <w:sz w:val="24"/>
        </w:rPr>
        <w:t>C1-W2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E3CA91"/>
          <w:left w:val="single" w:sz="5" w:color="E3CA91"/>
          <w:bottom w:val="single" w:sz="5" w:color="E3CA91"/>
          <w:right w:val="single" w:sz="5" w:color="E3CA91"/>
          <w:insideH w:val="single" w:sz="5" w:color="E3CA91"/>
          <w:insideV w:val="single" w:sz="5" w:color="E3CA91"/>
        </w:tblBorders>
      </w:tblPr>
      <w:tblGrid>
        <w:gridCol w:w="8352"/>
      </w:tblGrid>
      <w:tr>
        <w:tc>
          <w:tcPr>
            <w:tcW w:type="dxa" w:w="9936"/>
            <w:tcMar>
              <w:top w:w="130" w:type="dxa"/>
              <w:start w:w="180" w:type="dxa"/>
              <w:bottom w:w="130" w:type="dxa"/>
              <w:end w:w="180" w:type="dxa"/>
            </w:tcMar>
            <w:vAlign w:val="center"/>
            <w:shd w:fill="F8E8BF"/>
          </w:tcPr>
          <w:p>
            <w:pPr>
              <w:jc w:val="center"/>
            </w:pPr>
            <w:r>
              <w:rPr>
                <w:b/>
              </w:rPr>
              <w:t>V12  •  Families Growing in Krishna Consciousness</w:t>
              <w:br/>
              <w:t>Program Director: Swapnil Patil</w:t>
            </w:r>
          </w:p>
        </w:tc>
      </w:tr>
      <w:tr>
        <w:tc>
          <w:tcPr>
            <w:tcW w:type="dxa" w:w="9936"/>
            <w:tcMar>
              <w:top w:w="130" w:type="dxa"/>
              <w:start w:w="180" w:type="dxa"/>
              <w:bottom w:w="130" w:type="dxa"/>
              <w:end w:w="180" w:type="dxa"/>
            </w:tcMar>
            <w:vAlign w:val="center"/>
            <w:shd w:fill="E4F0ED"/>
          </w:tcPr>
          <w:p>
            <w:pPr>
              <w:jc w:val="center"/>
            </w:pPr>
            <w:r>
              <w:rPr>
                <w:i/>
                <w:color w:val="5B1933"/>
              </w:rPr>
              <w:t>Internal founding-cohort teaching material — human/temple review EXTERNAL_OPEN</w:t>
            </w:r>
          </w:p>
        </w:tc>
      </w:tr>
    </w:tbl>
    <w:p>
      <w:pPr>
        <w:spacing w:before="1440"/>
        <w:jc w:val="center"/>
      </w:pPr>
      <w:r>
        <w:rPr>
          <w:rFonts w:ascii="Segoe UI" w:hAnsi="Segoe UI" w:eastAsia="Segoe UI" w:cs="Segoe UI"/>
          <w:color w:val="4F7C78"/>
          <w:sz w:val="18"/>
        </w:rPr>
        <w:t>KUTUMBA  |  Families Growing in Krishna Consciousness</w:t>
      </w:r>
    </w:p>
    <w:p>
      <w:r>
        <w:br w:type="page"/>
      </w:r>
    </w:p>
    <w:p>
      <w:pPr>
        <w:pStyle w:val="Heading1"/>
      </w:pPr>
      <w:r>
        <w:t>C1-W2 Main Facilitator Guide — Saturday 2:00–4:00</w:t>
      </w:r>
    </w:p>
    <w:p>
      <w:r>
        <w:t xml:space="preserve">**KUTUMBA • Families Growing in Krishna Consciousness**  </w:t>
        <w:br/>
        <w:t xml:space="preserve">**Program Director: Swapnil Patil**  </w:t>
        <w:br/>
        <w:t>**Status:** Internal founding-cohort teaching material — human/temple review EXTERNAL_OPEN</w:t>
      </w:r>
    </w:p>
    <w:p>
      <w:pPr>
        <w:pStyle w:val="Heading1"/>
      </w:pPr>
      <w:r>
        <w:t>Two-minute summary</w:t>
      </w:r>
    </w:p>
    <w:p>
      <w:r>
        <w:t>Body changes; conscious self continues. Primary: **BG 2.13** (https://vedabase.io/en/library/bg/2/13/).</w:t>
      </w:r>
    </w:p>
    <w:p>
      <w:pPr>
        <w:pStyle w:val="Heading1"/>
      </w:pPr>
      <w:r>
        <w:t>Essential question</w:t>
      </w:r>
    </w:p>
    <w:p>
      <w:r>
        <w:t>How should body-language change?</w:t>
      </w:r>
    </w:p>
    <w:p>
      <w:pPr>
        <w:pStyle w:val="Heading1"/>
      </w:pPr>
      <w:r>
        <w:t>15-minute night-before prep</w:t>
      </w:r>
    </w:p>
    <w:p>
      <w:r>
        <w:t>1. Open https://vedabase.io/en/library/bg/2/13/; reread Devanāgarī/IAST/teaching meaning from verse pack.</w:t>
        <w:br/>
        <w:t>2. Rehearse opening script.</w:t>
        <w:br/>
        <w:t>3. Pack younger + older materials.</w:t>
        <w:br/>
        <w:t>4. Review misconception: Psychology/photos prove the soul.</w:t>
        <w:br/>
        <w:t>5. Confirm snack/water (no weekly meal).</w:t>
      </w:r>
    </w:p>
    <w:p>
      <w:pPr>
        <w:pStyle w:val="Heading1"/>
      </w:pPr>
      <w:r>
        <w:t>60-minute deep prep</w:t>
      </w:r>
    </w:p>
    <w:p>
      <w:r>
        <w:t>1. Read research SCRIPTURAL + CASE files.</w:t>
        <w:br/>
        <w:t>2. Mark three questions you will ask.</w:t>
        <w:br/>
        <w:t>3. Prepare one analogy with limit.</w:t>
        <w:br/>
        <w:t>4. Walk room zones.</w:t>
        <w:br/>
        <w:t>5. Write minimum home-practice card.</w:t>
        <w:br/>
        <w:t>6. Review deferral line.</w:t>
      </w:r>
    </w:p>
    <w:p>
      <w:pPr>
        <w:pStyle w:val="Heading1"/>
      </w:pPr>
      <w:r>
        <w:t>Exact primary readings</w:t>
      </w:r>
    </w:p>
    <w:p>
      <w:r>
        <w:t>- BG 2.13 — https://vedabase.io/en/library/bg/2/13/</w:t>
        <w:br/>
        <w:t>- Devanāgarī: देहिनोऽस्मिन् यथा देहे कौमारं यौवनं जरा । तथा देहान्तरप्राप्तिर्धीरस्तत्र न मुह्यति ॥ १३ ॥</w:t>
        <w:br/>
        <w:t>- IAST: dehino ’smin yathā dehe kaumāraṁ yauvanaṁ jarā / tathā dehāntara-prāptir dhīras tatra na muhyati</w:t>
        <w:br/>
        <w:t>- KUTUMBA teaching meaning: Just as the embodied self passes through childhood, youth, and old age in one body, the sober person is not bewildered when the self passes to another body.</w:t>
        <w:br/>
        <w:t>- Rights: Sanskrit verse text from VedaBase display; KUTUMBA teaching meaning original; no full purport.</w:t>
      </w:r>
    </w:p>
    <w:p>
      <w:pPr>
        <w:pStyle w:val="Heading1"/>
      </w:pPr>
      <w:r>
        <w:t>One-page speaking map</w:t>
      </w:r>
    </w:p>
    <w:p>
      <w:r>
        <w:t>Welcome → memory → verse layer → analogy+limit → case → tracks → reunification → project → home → next week</w:t>
      </w:r>
    </w:p>
    <w:p>
      <w:pPr>
        <w:pStyle w:val="Heading1"/>
      </w:pPr>
      <w:r>
        <w:t>Exact opening script</w:t>
      </w:r>
    </w:p>
    <w:p>
      <w:r>
        <w:t xml:space="preserve">&gt; Welcome. Today is C1-W2: I Am Not This Body.  </w:t>
        <w:br/>
        <w:t xml:space="preserve">&gt; Essential question: How should body-language change?  </w:t>
        <w:br/>
        <w:t xml:space="preserve">&gt; From BG 2.13: Just as the embodied self passes through childhood, youth, and old age in one body, the sober person is not bewildered when the self passes to another body.  </w:t>
        <w:br/>
        <w:t>&gt; We hear, practice in age bands, reunite, and take one small home step. We do not rank families.</w:t>
      </w:r>
    </w:p>
    <w:p>
      <w:pPr>
        <w:pStyle w:val="Heading1"/>
      </w:pPr>
      <w:r>
        <w:t>Core explanation</w:t>
      </w:r>
    </w:p>
    <w:p>
      <w:r>
        <w:t>Body changes; conscious self continues.</w:t>
      </w:r>
    </w:p>
    <w:p>
      <w:pPr>
        <w:pStyle w:val="Heading1"/>
      </w:pPr>
      <w:r>
        <w:t>Analogies / cases / questions</w:t>
      </w:r>
    </w:p>
    <w:p>
      <w:r>
        <w:t>Use week research ANALOGIES-AND-LIMITS and CASE-STUDIES. Ask discovery, understanding, and application questions. Likely adult Q: science proof? Answer: science may help habits; doctrine rests on śāstra.</w:t>
      </w:r>
    </w:p>
    <w:p>
      <w:pPr>
        <w:pStyle w:val="Heading1"/>
      </w:pPr>
      <w:r>
        <w:t>Common misconceptions</w:t>
      </w:r>
    </w:p>
    <w:p>
      <w:r>
        <w:t>- Psychology/photos prove the soul.</w:t>
        <w:br/>
        <w:t>- Confusing analogy with scripture</w:t>
        <w:br/>
        <w:t>- Importing next week's ontology early</w:t>
      </w:r>
    </w:p>
    <w:p>
      <w:pPr>
        <w:pStyle w:val="Heading1"/>
      </w:pPr>
      <w:r>
        <w:t>Saturday time cues</w:t>
      </w:r>
    </w:p>
    <w:p>
      <w:r>
        <w:t>1:50 arrival · 2:00 mantras · 2:10 opening · 2:30 tracks · 3:10 reunite · 3:30 snack · 3:40 saṅkalpa · 3:55 close · 4:00 end</w:t>
      </w:r>
    </w:p>
    <w:p>
      <w:pPr>
        <w:pStyle w:val="Heading1"/>
      </w:pPr>
      <w:r>
        <w:t>Do not claim</w:t>
      </w:r>
    </w:p>
    <w:p>
      <w:r>
        <w:t>Human/temple/publication approval; BBT ownership of KUTUMBA materials; science proving ātman.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color="2E3033"/>
          <w:left w:val="single" w:sz="8" w:color="2E3033"/>
          <w:bottom w:val="single" w:sz="8" w:color="2E3033"/>
          <w:right w:val="single" w:sz="8" w:color="2E3033"/>
          <w:insideH w:val="single" w:sz="8" w:color="2E3033"/>
          <w:insideV w:val="single" w:sz="8" w:color="2E3033"/>
        </w:tblBorders>
      </w:tblPr>
      <w:tblGrid>
        <w:gridCol w:w="1944"/>
        <w:gridCol w:w="8136"/>
      </w:tblGrid>
      <w:tr>
        <w:tc>
          <w:tcPr>
            <w:tcW w:type="dxa" w:w="4968"/>
            <w:shd w:fill="2E3033"/>
            <w:tcMar>
              <w:top w:w="130" w:type="dxa"/>
              <w:start w:w="140" w:type="dxa"/>
              <w:bottom w:w="130" w:type="dxa"/>
              <w:end w:w="140" w:type="dxa"/>
            </w:tcMar>
            <w:vAlign w:val="center"/>
          </w:tcPr>
          <w:p>
            <w:pPr>
              <w:pStyle w:val="KUTUMBACalloutLabel"/>
              <w:jc w:val="center"/>
            </w:pPr>
            <w:r>
              <w:t>RIGHTS NOTE</w:t>
            </w:r>
          </w:p>
        </w:tc>
        <w:tc>
          <w:tcPr>
            <w:tcW w:type="dxa" w:w="4968"/>
            <w:shd w:fill="EFF0F1"/>
            <w:tcMar>
              <w:top w:w="130" w:type="dxa"/>
              <w:start w:w="140" w:type="dxa"/>
              <w:bottom w:w="130" w:type="dxa"/>
              <w:end w:w="140" w:type="dxa"/>
            </w:tcMar>
            <w:vAlign w:val="center"/>
          </w:tcPr>
          <w:p>
            <w:pPr>
              <w:pStyle w:val="KUTUMBACalloutBody"/>
            </w:pPr>
            <w:r>
              <w:t>Original KUTUMBA program material. Scripture/BBT/ISKCON/third-party rights remain with their holders.</w:t>
            </w:r>
          </w:p>
        </w:tc>
      </w:tr>
    </w:tbl>
    <w:p>
      <w:pPr>
        <w:spacing w:after="2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008" w:right="1152" w:bottom="1037" w:left="1152" w:header="403" w:footer="40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Segoe UI" w:hAnsi="Segoe UI" w:eastAsia="Segoe UI" w:cs="Segoe UI"/>
        <w:b/>
        <w:color w:val="5B1933"/>
        <w:sz w:val="15"/>
      </w:rPr>
      <w:t xml:space="preserve">KUTUMBA • Families Growing in Krishna Consciousness  |  </w:t>
    </w:r>
    <w:r>
      <w:rPr>
        <w:rFonts w:ascii="Segoe UI" w:hAnsi="Segoe UI" w:eastAsia="Segoe UI" w:cs="Segoe UI"/>
        <w:color w:val="2E3033"/>
        <w:sz w:val="15"/>
      </w:rPr>
      <w:t xml:space="preserve">KUTUMBA-original framing; cited third-party material retains its own rights.  |  Page </w:t>
    </w:r>
    <w:r>
      <w:rPr>
        <w:rFonts w:ascii="Segoe UI" w:hAnsi="Segoe UI" w:eastAsia="Segoe UI" w:cs="Segoe UI"/>
        <w:sz w:val="15"/>
      </w:rPr>
      <w:fldChar w:fldCharType="begin"/>
      <w:instrText xml:space="preserve">PAGE</w:instrText>
      <w:fldChar w:fldCharType="separate"/>
      <w:t>1</w:t>
      <w:fldChar w:fldCharType="end"/>
    </w:r>
    <w:r>
      <w:rPr>
        <w:rFonts w:ascii="Segoe UI" w:hAnsi="Segoe UI" w:eastAsia="Segoe UI" w:cs="Segoe UI"/>
        <w:sz w:val="15"/>
      </w:rPr>
      <w:t xml:space="preserve"> of </w:t>
    </w:r>
    <w:r>
      <w:rPr>
        <w:rFonts w:ascii="Segoe UI" w:hAnsi="Segoe UI" w:eastAsia="Segoe UI" w:cs="Segoe UI"/>
        <w:sz w:val="15"/>
      </w:rPr>
      <w:fldChar w:fldCharType="begin"/>
      <w:instrText xml:space="preserve">NUMPAGES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  <w:pBdr>
        <w:bottom w:val="single" w:sz="8" w:space="4" w:color="E59B24"/>
      </w:pBdr>
    </w:pPr>
    <w:r>
      <w:rPr>
        <w:rFonts w:ascii="Segoe UI" w:hAnsi="Segoe UI" w:eastAsia="Segoe UI" w:cs="Segoe UI"/>
        <w:b/>
        <w:color w:val="5B1933"/>
        <w:sz w:val="17"/>
      </w:rPr>
      <w:t xml:space="preserve">KUTUMBA  •  </w:t>
    </w:r>
    <w:r>
      <w:rPr>
        <w:rFonts w:ascii="Segoe UI" w:hAnsi="Segoe UI" w:eastAsia="Segoe UI" w:cs="Segoe UI"/>
        <w:color w:val="4F7C78"/>
        <w:sz w:val="17"/>
      </w:rPr>
      <w:t>C1-W2  |  main-facilitator-guide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displayBackgroundShape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after="120" w:line="259" w:lineRule="auto"/>
    </w:pPr>
    <w:rPr>
      <w:rFonts w:ascii="Calibri" w:hAnsi="Calibri" w:eastAsia="Calibri"/>
      <w:b w:val="0"/>
      <w:color w:val="2E3033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40"/>
      <w:outlineLvl w:val="0"/>
    </w:pPr>
    <w:rPr>
      <w:rFonts w:asciiTheme="majorHAnsi" w:eastAsiaTheme="majorEastAsia" w:hAnsiTheme="majorHAnsi" w:cstheme="majorBidi" w:ascii="Cambria" w:hAnsi="Cambria" w:eastAsia="Cambria"/>
      <w:b/>
      <w:bCs/>
      <w:color w:val="5B1933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00"/>
      <w:outlineLvl w:val="1"/>
    </w:pPr>
    <w:rPr>
      <w:rFonts w:asciiTheme="majorHAnsi" w:eastAsiaTheme="majorEastAsia" w:hAnsiTheme="majorHAnsi" w:cstheme="majorBidi" w:ascii="Cambria" w:hAnsi="Cambria" w:eastAsia="Cambria"/>
      <w:b/>
      <w:bCs/>
      <w:color w:val="7A263A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80"/>
      <w:outlineLvl w:val="2"/>
    </w:pPr>
    <w:rPr>
      <w:rFonts w:asciiTheme="majorHAnsi" w:eastAsiaTheme="majorEastAsia" w:hAnsiTheme="majorHAnsi" w:cstheme="majorBidi" w:ascii="Cambria" w:hAnsi="Cambria" w:eastAsia="Cambria"/>
      <w:b/>
      <w:bCs/>
      <w:color w:val="4F7C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140" w:after="60"/>
      <w:outlineLvl w:val="3"/>
    </w:pPr>
    <w:rPr>
      <w:rFonts w:asciiTheme="majorHAnsi" w:eastAsiaTheme="majorEastAsia" w:hAnsiTheme="majorHAnsi" w:cstheme="majorBidi" w:ascii="Cambria" w:hAnsi="Cambria" w:eastAsia="Cambria"/>
      <w:b/>
      <w:bCs/>
      <w:i/>
      <w:iCs/>
      <w:color w:val="5B1933"/>
      <w:sz w:val="2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200" w:line="240" w:lineRule="auto"/>
      <w:contextualSpacing/>
    </w:pPr>
    <w:rPr>
      <w:rFonts w:asciiTheme="majorHAnsi" w:eastAsiaTheme="majorEastAsia" w:hAnsiTheme="majorHAnsi" w:cstheme="majorBidi" w:ascii="Cambria" w:hAnsi="Cambria" w:eastAsia="Cambria"/>
      <w:b/>
      <w:color w:val="5B1933"/>
      <w:spacing w:val="5"/>
      <w:kern w:val="28"/>
      <w:sz w:val="6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160"/>
    </w:pPr>
    <w:rPr>
      <w:rFonts w:asciiTheme="majorHAnsi" w:eastAsiaTheme="majorEastAsia" w:hAnsiTheme="majorHAnsi" w:cstheme="majorBidi" w:ascii="Segoe UI" w:hAnsi="Segoe UI" w:eastAsia="Segoe UI"/>
      <w:b w:val="0"/>
      <w:i/>
      <w:iCs/>
      <w:color w:val="4F7C78"/>
      <w:spacing w:val="15"/>
      <w:sz w:val="28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/>
      <w:contextualSpacing/>
    </w:pPr>
    <w:rPr>
      <w:rFonts w:ascii="Calibri" w:hAnsi="Calibri" w:eastAsia="Calibri"/>
      <w:b w:val="0"/>
      <w:color w:val="2E3033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spacing w:after="60"/>
      <w:contextualSpacing/>
    </w:pPr>
    <w:rPr>
      <w:rFonts w:ascii="Calibri" w:hAnsi="Calibri" w:eastAsia="Calibri"/>
      <w:b w:val="0"/>
      <w:color w:val="2E3033"/>
      <w:sz w:val="21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60"/>
      <w:contextualSpacing/>
    </w:pPr>
    <w:rPr>
      <w:rFonts w:ascii="Calibri" w:hAnsi="Calibri" w:eastAsia="Calibri"/>
      <w:b w:val="0"/>
      <w:color w:val="2E3033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spacing w:after="60"/>
      <w:contextualSpacing/>
    </w:pPr>
    <w:rPr>
      <w:rFonts w:ascii="Calibri" w:hAnsi="Calibri" w:eastAsia="Calibri"/>
      <w:b w:val="0"/>
      <w:color w:val="2E3033"/>
      <w:sz w:val="21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>
      <w:spacing w:before="100" w:after="140"/>
      <w:ind w:left="360" w:right="216"/>
    </w:pPr>
    <w:rPr>
      <w:rFonts w:ascii="Cambria" w:hAnsi="Cambria" w:eastAsia="Cambria"/>
      <w:b w:val="0"/>
      <w:i/>
      <w:iCs/>
      <w:color w:val="5B1933"/>
      <w:sz w:val="2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Segoe UI" w:hAnsi="Segoe UI" w:eastAsia="Segoe UI"/>
      <w:b/>
      <w:bCs/>
      <w:color w:val="4F7C78"/>
      <w:sz w:val="17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KUTUMBAEyebrow">
    <w:name w:val="KUTUMBA Eyebrow"/>
    <w:pPr>
      <w:spacing w:after="80"/>
    </w:pPr>
    <w:rPr>
      <w:rFonts w:ascii="Segoe UI" w:hAnsi="Segoe UI" w:eastAsia="Segoe UI"/>
      <w:b/>
      <w:color w:val="E59B24"/>
      <w:sz w:val="18"/>
    </w:rPr>
  </w:style>
  <w:style w:type="paragraph" w:customStyle="1" w:styleId="KUTUMBAMeta">
    <w:name w:val="KUTUMBA Meta"/>
    <w:pPr>
      <w:spacing w:after="80"/>
    </w:pPr>
    <w:rPr>
      <w:rFonts w:ascii="Segoe UI" w:hAnsi="Segoe UI" w:eastAsia="Segoe UI"/>
      <w:b w:val="0"/>
      <w:color w:val="4F7C78"/>
      <w:sz w:val="18"/>
    </w:rPr>
  </w:style>
  <w:style w:type="paragraph" w:customStyle="1" w:styleId="KUTUMBACalloutLabel">
    <w:name w:val="KUTUMBA Callout Label"/>
    <w:pPr>
      <w:spacing w:after="80"/>
    </w:pPr>
    <w:rPr>
      <w:rFonts w:ascii="Segoe UI" w:hAnsi="Segoe UI" w:eastAsia="Segoe UI"/>
      <w:b/>
      <w:color w:val="FFFFFF"/>
      <w:sz w:val="17"/>
    </w:rPr>
  </w:style>
  <w:style w:type="paragraph" w:customStyle="1" w:styleId="KUTUMBACalloutBody">
    <w:name w:val="KUTUMBA Callout Body"/>
    <w:pPr>
      <w:spacing w:after="80"/>
    </w:pPr>
    <w:rPr>
      <w:rFonts w:ascii="Calibri" w:hAnsi="Calibri" w:eastAsia="Calibri"/>
      <w:b w:val="0"/>
      <w:color w:val="2E3033"/>
      <w:sz w:val="20"/>
    </w:rPr>
  </w:style>
  <w:style w:type="paragraph" w:customStyle="1" w:styleId="KUTUMBAVerseDevanagari">
    <w:name w:val="KUTUMBA Verse Devanagari"/>
    <w:pPr>
      <w:keepLines/>
      <w:spacing w:after="80"/>
    </w:pPr>
    <w:rPr>
      <w:rFonts w:ascii="Nirmala UI" w:hAnsi="Nirmala UI" w:eastAsia="Nirmala UI"/>
      <w:b w:val="0"/>
      <w:color w:val="5B1933"/>
      <w:sz w:val="30"/>
    </w:rPr>
  </w:style>
  <w:style w:type="paragraph" w:customStyle="1" w:styleId="KUTUMBAVerseIAST">
    <w:name w:val="KUTUMBA Verse IAST"/>
    <w:pPr>
      <w:keepLines/>
      <w:spacing w:after="80"/>
    </w:pPr>
    <w:rPr>
      <w:rFonts w:ascii="Calibri" w:hAnsi="Calibri" w:eastAsia="Calibri"/>
      <w:b w:val="0"/>
      <w:color w:val="4F7C78"/>
      <w:sz w:val="21"/>
    </w:rPr>
  </w:style>
  <w:style w:type="paragraph" w:customStyle="1" w:styleId="KUTUMBARights">
    <w:name w:val="KUTUMBA Rights"/>
    <w:pPr>
      <w:spacing w:after="80"/>
    </w:pPr>
    <w:rPr>
      <w:rFonts w:ascii="Segoe UI" w:hAnsi="Segoe UI" w:eastAsia="Segoe UI"/>
      <w:b w:val="0"/>
      <w:color w:val="2E3033"/>
      <w:sz w:val="16"/>
    </w:rPr>
  </w:style>
  <w:style w:type="table" w:customStyle="1" w:styleId="KUTUMBATable">
    <w:name w:val="KUTUMBA Table"/>
    <w:rPr>
      <w:rFonts w:ascii="Calibri" w:hAnsi="Calibri"/>
      <w:color w:val="2E3033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