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C1-W2 Younger Teacher Guide (K–2)</w:t>
      </w:r>
    </w:p>
    <w:p>
      <w:pPr>
        <w:pStyle w:val="Heading1"/>
      </w:pPr>
      <w:r>
        <w:t>Objective</w:t>
      </w:r>
    </w:p>
    <w:p>
      <w:r>
        <w:t>Body changes; conscious self continues.</w:t>
      </w:r>
    </w:p>
    <w:p>
      <w:pPr>
        <w:pStyle w:val="Heading1"/>
      </w:pPr>
      <w:r>
        <w:t>Exact memory phrase</w:t>
      </w:r>
    </w:p>
    <w:p>
      <w:r>
        <w:t>&gt; Body changes; conscious self continues.</w:t>
      </w:r>
    </w:p>
    <w:p>
      <w:pPr>
        <w:pStyle w:val="Heading1"/>
      </w:pPr>
      <w:r>
        <w:t>Teacher background</w:t>
      </w:r>
    </w:p>
    <w:p>
      <w:r>
        <w:t>Primary BG 2.13. Block: Psychology/photos prove the soul.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