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C1-W3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C1-W3 Younger Teacher Guide (K–2)</w:t>
      </w:r>
    </w:p>
    <w:p>
      <w:pPr>
        <w:pStyle w:val="Heading1"/>
      </w:pPr>
      <w:r>
        <w:t>Objective</w:t>
      </w:r>
    </w:p>
    <w:p>
      <w:r>
        <w:t>The jīva is eternal, conscious, individual — not the temporary body and not God Himself.</w:t>
      </w:r>
    </w:p>
    <w:p>
      <w:pPr>
        <w:pStyle w:val="Heading1"/>
      </w:pPr>
      <w:r>
        <w:t>Exact memory phrase</w:t>
      </w:r>
    </w:p>
    <w:p>
      <w:r>
        <w:t>&gt; The jīva is eternal, conscious, individual — not the temporary body and not God Himself.</w:t>
      </w:r>
    </w:p>
    <w:p>
      <w:pPr>
        <w:pStyle w:val="Heading1"/>
      </w:pPr>
      <w:r>
        <w:t>Teacher background</w:t>
      </w:r>
    </w:p>
    <w:p>
      <w:r>
        <w:t>Primary BG 2.20. Block: All souls are God.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C1-W3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