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C1-W4 Older Teacher Guide (Grades 4–5)</w:t>
      </w:r>
    </w:p>
    <w:p>
      <w:pPr>
        <w:pStyle w:val="Heading1"/>
      </w:pPr>
      <w:r>
        <w:t>Objective</w:t>
      </w:r>
    </w:p>
    <w:p>
      <w:r>
        <w:t>Explain: Human life is a rare opportunity for self-realization. using ŚB 11.9.29.</w:t>
      </w:r>
    </w:p>
    <w:p>
      <w:pPr>
        <w:pStyle w:val="Heading1"/>
      </w:pPr>
      <w:r>
        <w:t>Text observation</w:t>
      </w:r>
    </w:p>
    <w:p>
      <w:r>
        <w:t>Open https://vedabase.io/en/library/sb/11/9/29/.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Fear/death pressure motivates children.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