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C1-W4 Younger Teacher Guide (K–2)</w:t>
      </w:r>
    </w:p>
    <w:p>
      <w:pPr>
        <w:pStyle w:val="Heading1"/>
      </w:pPr>
      <w:r>
        <w:t>Objective</w:t>
      </w:r>
    </w:p>
    <w:p>
      <w:r>
        <w:t>Human life is a rare opportunity for self-realization — protect inquiry and practice time.</w:t>
      </w:r>
    </w:p>
    <w:p>
      <w:pPr>
        <w:pStyle w:val="Heading1"/>
      </w:pPr>
      <w:r>
        <w:t>Exact memory phrase</w:t>
      </w:r>
    </w:p>
    <w:p>
      <w:r>
        <w:t>&gt; Human life is a rare opportunity for self-realization — protect inquiry and practice time.</w:t>
      </w:r>
    </w:p>
    <w:p>
      <w:pPr>
        <w:pStyle w:val="Heading1"/>
      </w:pPr>
      <w:r>
        <w:t>Teacher background</w:t>
      </w:r>
    </w:p>
    <w:p>
      <w:r>
        <w:t>Primary ŚB 11.9.29. Block: Fear/death pressure motivates children.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