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C1-W5 Younger Teacher Guide (K–2)</w:t>
      </w:r>
    </w:p>
    <w:p>
      <w:pPr>
        <w:pStyle w:val="Heading1"/>
      </w:pPr>
      <w:r>
        <w:t>Objective</w:t>
      </w:r>
    </w:p>
    <w:p>
      <w:r>
        <w:t>Temporary joys can be used with gratitude; lasting fulfillment is in Kṛṣṇa.</w:t>
      </w:r>
    </w:p>
    <w:p>
      <w:pPr>
        <w:pStyle w:val="Heading1"/>
      </w:pPr>
      <w:r>
        <w:t>Exact memory phrase</w:t>
      </w:r>
    </w:p>
    <w:p>
      <w:r>
        <w:t>&gt; Temporary joys can be used with gratitude; lasting fulfillment is in Kṛṣṇa.</w:t>
      </w:r>
    </w:p>
    <w:p>
      <w:pPr>
        <w:pStyle w:val="Heading1"/>
      </w:pPr>
      <w:r>
        <w:t>Teacher background</w:t>
      </w:r>
    </w:p>
    <w:p>
      <w:r>
        <w:t>Primary BG 8.15. Block: Material affection is worthless.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