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C1-W6 Older Teacher Guide (Grades 4–5)</w:t>
      </w:r>
    </w:p>
    <w:p>
      <w:pPr>
        <w:pStyle w:val="Heading1"/>
      </w:pPr>
      <w:r>
        <w:t>Objective</w:t>
      </w:r>
    </w:p>
    <w:p>
      <w:r>
        <w:t>Explain: Identity, purpose, and practice form one life. using Cycle 1 review chain.</w:t>
      </w:r>
    </w:p>
    <w:p>
      <w:pPr>
        <w:pStyle w:val="Heading1"/>
      </w:pPr>
      <w:r>
        <w:t>Text observation</w:t>
      </w:r>
    </w:p>
    <w:p>
      <w:r>
        <w:t>Open https://vedabase.io/en/library/sb/1/2/18/.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Competition/ranking.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