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C2-W1 Younger Teacher Guide (K–2)</w:t>
      </w:r>
    </w:p>
    <w:p>
      <w:pPr>
        <w:pStyle w:val="Heading1"/>
      </w:pPr>
      <w:r>
        <w:t>Objective</w:t>
      </w:r>
    </w:p>
    <w:p>
      <w:r>
        <w:t>How action binds — and how offering transforms work.</w:t>
      </w:r>
    </w:p>
    <w:p>
      <w:pPr>
        <w:pStyle w:val="Heading1"/>
      </w:pPr>
      <w:r>
        <w:t>Exact memory phrase</w:t>
      </w:r>
    </w:p>
    <w:p>
      <w:r>
        <w:t>&gt; How action binds — and how offering transforms work.</w:t>
      </w:r>
    </w:p>
    <w:p>
      <w:pPr>
        <w:pStyle w:val="Heading1"/>
      </w:pPr>
      <w:r>
        <w:t>Teacher background</w:t>
      </w:r>
    </w:p>
    <w:p>
      <w:r>
        <w:t>Primary BG 3.9. Block: Fatalism removes responsibility.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