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C2-W2 Older Teacher Guide (Grades 4–5)</w:t>
      </w:r>
    </w:p>
    <w:p>
      <w:pPr>
        <w:pStyle w:val="Heading1"/>
      </w:pPr>
      <w:r>
        <w:t>Objective</w:t>
      </w:r>
    </w:p>
    <w:p>
      <w:r>
        <w:t>Explain: Deliberate, then act — the next choice matters. using BG 18.63.</w:t>
      </w:r>
    </w:p>
    <w:p>
      <w:pPr>
        <w:pStyle w:val="Heading1"/>
      </w:pPr>
      <w:r>
        <w:t>Text observation</w:t>
      </w:r>
    </w:p>
    <w:p>
      <w:r>
        <w:t>Open https://vedabase.io/en/library/bg/18/63/.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We have no agency.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