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C2-W2 Younger Teacher Guide (K–2)</w:t>
      </w:r>
    </w:p>
    <w:p>
      <w:pPr>
        <w:pStyle w:val="Heading1"/>
      </w:pPr>
      <w:r>
        <w:t>Objective</w:t>
      </w:r>
    </w:p>
    <w:p>
      <w:r>
        <w:t>The next choice matters — freedom with accountability.</w:t>
      </w:r>
    </w:p>
    <w:p>
      <w:pPr>
        <w:pStyle w:val="Heading1"/>
      </w:pPr>
      <w:r>
        <w:t>Exact memory phrase</w:t>
      </w:r>
    </w:p>
    <w:p>
      <w:r>
        <w:t>&gt; The next choice matters — freedom with accountability.</w:t>
      </w:r>
    </w:p>
    <w:p>
      <w:pPr>
        <w:pStyle w:val="Heading1"/>
      </w:pPr>
      <w:r>
        <w:t>Teacher background</w:t>
      </w:r>
    </w:p>
    <w:p>
      <w:r>
        <w:t>Primary BG 18.63. Block: We have no agency.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