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C2-W3 Older Teacher Guide (Grades 4–5)</w:t>
      </w:r>
    </w:p>
    <w:p>
      <w:pPr>
        <w:pStyle w:val="Heading1"/>
      </w:pPr>
      <w:r>
        <w:t>Objective</w:t>
      </w:r>
    </w:p>
    <w:p>
      <w:r>
        <w:t>Explain: The self changes bodies like garments — teach without fear. using BG 2.22.</w:t>
      </w:r>
    </w:p>
    <w:p>
      <w:pPr>
        <w:pStyle w:val="Heading1"/>
      </w:pPr>
      <w:r>
        <w:t>Text observation</w:t>
      </w:r>
    </w:p>
    <w:p>
      <w:r>
        <w:t>Open https://vedabase.io/en/library/bg/2/22/.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Scare children with death.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