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C2-W3 Younger Teacher Guide (K–2)</w:t>
      </w:r>
    </w:p>
    <w:p>
      <w:pPr>
        <w:pStyle w:val="Heading1"/>
      </w:pPr>
      <w:r>
        <w:t>Objective</w:t>
      </w:r>
    </w:p>
    <w:p>
      <w:r>
        <w:t>Birth and death are changes of dress for the eternal self.</w:t>
      </w:r>
    </w:p>
    <w:p>
      <w:pPr>
        <w:pStyle w:val="Heading1"/>
      </w:pPr>
      <w:r>
        <w:t>Exact memory phrase</w:t>
      </w:r>
    </w:p>
    <w:p>
      <w:r>
        <w:t>&gt; Birth and death are changes of dress for the eternal self.</w:t>
      </w:r>
    </w:p>
    <w:p>
      <w:pPr>
        <w:pStyle w:val="Heading1"/>
      </w:pPr>
      <w:r>
        <w:t>Teacher background</w:t>
      </w:r>
    </w:p>
    <w:p>
      <w:r>
        <w:t>Primary BG 2.22. Block: Scare children with death.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