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C2-W4 Older Teacher Guide (Grades 4–5)</w:t>
      </w:r>
    </w:p>
    <w:p>
      <w:pPr>
        <w:pStyle w:val="Heading1"/>
      </w:pPr>
      <w:r>
        <w:t>Objective</w:t>
      </w:r>
    </w:p>
    <w:p>
      <w:r>
        <w:t>Explain: Sattva, rajas, tamas bind the embodied self. using BG 14.5.</w:t>
      </w:r>
    </w:p>
    <w:p>
      <w:pPr>
        <w:pStyle w:val="Heading1"/>
      </w:pPr>
      <w:r>
        <w:t>Text observation</w:t>
      </w:r>
    </w:p>
    <w:p>
      <w:r>
        <w:t>Open https://vedabase.io/en/library/bg/14/5/.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Use modes to shame others.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