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C2-W4 Younger Teacher Guide (K–2)</w:t>
      </w:r>
    </w:p>
    <w:p>
      <w:pPr>
        <w:pStyle w:val="Heading1"/>
      </w:pPr>
      <w:r>
        <w:t>Objective</w:t>
      </w:r>
    </w:p>
    <w:p>
      <w:r>
        <w:t>Recognize the three modes shaping mood, speech, and choices.</w:t>
      </w:r>
    </w:p>
    <w:p>
      <w:pPr>
        <w:pStyle w:val="Heading1"/>
      </w:pPr>
      <w:r>
        <w:t>Exact memory phrase</w:t>
      </w:r>
    </w:p>
    <w:p>
      <w:r>
        <w:t>&gt; Recognize the three modes shaping mood, speech, and choices.</w:t>
      </w:r>
    </w:p>
    <w:p>
      <w:pPr>
        <w:pStyle w:val="Heading1"/>
      </w:pPr>
      <w:r>
        <w:t>Teacher background</w:t>
      </w:r>
    </w:p>
    <w:p>
      <w:r>
        <w:t>Primary BG 14.5. Block: Use modes to shame others.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