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ackground w:color="FFF8E8"/>
  <w:body>
    <w:p>
      <w:pPr>
        <w:spacing w:before="936"/>
        <w:jc w:val="center"/>
      </w:pPr>
      <w:r>
        <w:rPr>
          <w:rFonts w:ascii="Segoe UI" w:hAnsi="Segoe UI" w:eastAsia="Segoe UI" w:cs="Segoe UI"/>
          <w:b/>
          <w:color w:val="E59B24"/>
          <w:sz w:val="36"/>
        </w:rPr>
        <w:t>KUTUMBA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80"/>
      </w:tblGrid>
      <w:tr>
        <w:tc>
          <w:tcPr>
            <w:tcW w:type="dxa" w:w="9936"/>
            <w:shd w:fill="5B1933"/>
          </w:tcPr>
          <w:p>
            <w:r/>
          </w:p>
        </w:tc>
      </w:tr>
    </w:tbl>
    <w:p>
      <w:pPr>
        <w:pStyle w:val="Title"/>
        <w:spacing w:before="792"/>
        <w:jc w:val="center"/>
      </w:pPr>
      <w:r>
        <w:t>C2-W5 OLDER TEACHER GUIDE</w:t>
      </w:r>
    </w:p>
    <w:p>
      <w:pPr>
        <w:pStyle w:val="Subtitle"/>
        <w:jc w:val="center"/>
      </w:pPr>
      <w:r>
        <w:t>Families Growing in Krishna Consciousness</w:t>
      </w:r>
    </w:p>
    <w:p>
      <w:pPr>
        <w:spacing w:before="360"/>
        <w:jc w:val="center"/>
      </w:pPr>
      <w:r>
        <w:rPr>
          <w:rFonts w:ascii="Cambria" w:hAnsi="Cambria" w:eastAsia="Cambria" w:cs="Cambria"/>
          <w:b/>
          <w:color w:val="7A263A"/>
          <w:sz w:val="24"/>
        </w:rPr>
        <w:t>C2-W5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E3CA91"/>
          <w:left w:val="single" w:sz="5" w:color="E3CA91"/>
          <w:bottom w:val="single" w:sz="5" w:color="E3CA91"/>
          <w:right w:val="single" w:sz="5" w:color="E3CA91"/>
          <w:insideH w:val="single" w:sz="5" w:color="E3CA91"/>
          <w:insideV w:val="single" w:sz="5" w:color="E3CA91"/>
        </w:tblBorders>
      </w:tblPr>
      <w:tblGrid>
        <w:gridCol w:w="8352"/>
      </w:tblGrid>
      <w:tr>
        <w:tc>
          <w:tcPr>
            <w:tcW w:type="dxa" w:w="9936"/>
            <w:tcMar>
              <w:top w:w="130" w:type="dxa"/>
              <w:start w:w="180" w:type="dxa"/>
              <w:bottom w:w="130" w:type="dxa"/>
              <w:end w:w="180" w:type="dxa"/>
            </w:tcMar>
            <w:vAlign w:val="center"/>
            <w:shd w:fill="F8E8BF"/>
          </w:tcPr>
          <w:p>
            <w:pPr>
              <w:jc w:val="center"/>
            </w:pPr>
            <w:r>
              <w:rPr>
                <w:b/>
              </w:rPr>
              <w:t>V12  •  Families Growing in Krishna Consciousness</w:t>
              <w:br/>
              <w:t>Program Director: Swapnil Patil</w:t>
            </w:r>
          </w:p>
        </w:tc>
      </w:tr>
      <w:tr>
        <w:tc>
          <w:tcPr>
            <w:tcW w:type="dxa" w:w="9936"/>
            <w:tcMar>
              <w:top w:w="130" w:type="dxa"/>
              <w:start w:w="180" w:type="dxa"/>
              <w:bottom w:w="130" w:type="dxa"/>
              <w:end w:w="180" w:type="dxa"/>
            </w:tcMar>
            <w:vAlign w:val="center"/>
            <w:shd w:fill="E4F0ED"/>
          </w:tcPr>
          <w:p>
            <w:pPr>
              <w:jc w:val="center"/>
            </w:pPr>
            <w:r>
              <w:rPr>
                <w:i/>
                <w:color w:val="5B1933"/>
              </w:rPr>
              <w:t>Internal founding-cohort teaching material — human/temple review EXTERNAL_OPEN</w:t>
            </w:r>
          </w:p>
        </w:tc>
      </w:tr>
    </w:tbl>
    <w:p>
      <w:pPr>
        <w:spacing w:before="1440"/>
        <w:jc w:val="center"/>
      </w:pPr>
      <w:r>
        <w:rPr>
          <w:rFonts w:ascii="Segoe UI" w:hAnsi="Segoe UI" w:eastAsia="Segoe UI" w:cs="Segoe UI"/>
          <w:color w:val="4F7C78"/>
          <w:sz w:val="18"/>
        </w:rPr>
        <w:t>KUTUMBA  |  Families Growing in Krishna Consciousness</w:t>
      </w:r>
    </w:p>
    <w:p>
      <w:r>
        <w:br w:type="page"/>
      </w:r>
    </w:p>
    <w:p>
      <w:pPr>
        <w:pStyle w:val="Heading1"/>
      </w:pPr>
      <w:r>
        <w:t>C2-W5 Older Teacher Guide (Grades 4–5)</w:t>
      </w:r>
    </w:p>
    <w:p>
      <w:pPr>
        <w:pStyle w:val="Heading1"/>
      </w:pPr>
      <w:r>
        <w:t>Objective</w:t>
      </w:r>
    </w:p>
    <w:p>
      <w:r>
        <w:t>Explain: Māyā is hard to cross; surrender to Kṛṣṇa is the way. using BG 7.14.</w:t>
      </w:r>
    </w:p>
    <w:p>
      <w:pPr>
        <w:pStyle w:val="Heading1"/>
      </w:pPr>
      <w:r>
        <w:t>Text observation</w:t>
      </w:r>
    </w:p>
    <w:p>
      <w:r>
        <w:t>Open https://vedabase.io/en/library/bg/7/14/. Students write setting/key phrase/paraphrase/what it does not say.</w:t>
      </w:r>
    </w:p>
    <w:p>
      <w:pPr>
        <w:pStyle w:val="Heading1"/>
      </w:pPr>
      <w:r>
        <w:t>Diagram / puzzle / scenarios</w:t>
      </w:r>
    </w:p>
    <w:p>
      <w:r>
        <w:t>Use V12 visuals and `activities/OLDER-ACTIVITY-PACK.md` + answer key.</w:t>
      </w:r>
    </w:p>
    <w:p>
      <w:pPr>
        <w:pStyle w:val="Heading1"/>
      </w:pPr>
      <w:r>
        <w:t>Misconception</w:t>
      </w:r>
    </w:p>
    <w:p>
      <w:r>
        <w:t>Hate all material duty.</w:t>
      </w:r>
    </w:p>
    <w:p>
      <w:pPr>
        <w:pStyle w:val="Heading1"/>
      </w:pPr>
      <w:r>
        <w:t>Project / reflection / extension</w:t>
      </w:r>
    </w:p>
    <w:p>
      <w:r>
        <w:t>Cycle contribution; reflection on analogy vs scripture; reunification sentence.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color="2E3033"/>
          <w:left w:val="single" w:sz="8" w:color="2E3033"/>
          <w:bottom w:val="single" w:sz="8" w:color="2E3033"/>
          <w:right w:val="single" w:sz="8" w:color="2E3033"/>
          <w:insideH w:val="single" w:sz="8" w:color="2E3033"/>
          <w:insideV w:val="single" w:sz="8" w:color="2E3033"/>
        </w:tblBorders>
      </w:tblPr>
      <w:tblGrid>
        <w:gridCol w:w="1944"/>
        <w:gridCol w:w="8136"/>
      </w:tblGrid>
      <w:tr>
        <w:tc>
          <w:tcPr>
            <w:tcW w:type="dxa" w:w="4968"/>
            <w:shd w:fill="2E3033"/>
            <w:tcMar>
              <w:top w:w="130" w:type="dxa"/>
              <w:start w:w="140" w:type="dxa"/>
              <w:bottom w:w="130" w:type="dxa"/>
              <w:end w:w="140" w:type="dxa"/>
            </w:tcMar>
            <w:vAlign w:val="center"/>
          </w:tcPr>
          <w:p>
            <w:pPr>
              <w:pStyle w:val="KUTUMBACalloutLabel"/>
              <w:jc w:val="center"/>
            </w:pPr>
            <w:r>
              <w:t>RIGHTS NOTE</w:t>
            </w:r>
          </w:p>
        </w:tc>
        <w:tc>
          <w:tcPr>
            <w:tcW w:type="dxa" w:w="4968"/>
            <w:shd w:fill="EFF0F1"/>
            <w:tcMar>
              <w:top w:w="130" w:type="dxa"/>
              <w:start w:w="140" w:type="dxa"/>
              <w:bottom w:w="130" w:type="dxa"/>
              <w:end w:w="140" w:type="dxa"/>
            </w:tcMar>
            <w:vAlign w:val="center"/>
          </w:tcPr>
          <w:p>
            <w:pPr>
              <w:pStyle w:val="KUTUMBACalloutBody"/>
            </w:pPr>
            <w:r>
              <w:t>Original KUTUMBA program material. Scripture/BBT/ISKCON/third-party rights remain with their holders.</w:t>
            </w:r>
          </w:p>
        </w:tc>
      </w:tr>
    </w:tbl>
    <w:p>
      <w:pPr>
        <w:spacing w:after="2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008" w:right="1152" w:bottom="1037" w:left="1152" w:header="403" w:footer="40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Segoe UI" w:hAnsi="Segoe UI" w:eastAsia="Segoe UI" w:cs="Segoe UI"/>
        <w:b/>
        <w:color w:val="5B1933"/>
        <w:sz w:val="15"/>
      </w:rPr>
      <w:t xml:space="preserve">KUTUMBA • Families Growing in Krishna Consciousness  |  </w:t>
    </w:r>
    <w:r>
      <w:rPr>
        <w:rFonts w:ascii="Segoe UI" w:hAnsi="Segoe UI" w:eastAsia="Segoe UI" w:cs="Segoe UI"/>
        <w:color w:val="2E3033"/>
        <w:sz w:val="15"/>
      </w:rPr>
      <w:t xml:space="preserve">KUTUMBA-original framing; cited third-party material retains its own rights.  |  Page </w:t>
    </w:r>
    <w:r>
      <w:rPr>
        <w:rFonts w:ascii="Segoe UI" w:hAnsi="Segoe UI" w:eastAsia="Segoe UI" w:cs="Segoe UI"/>
        <w:sz w:val="15"/>
      </w:rPr>
      <w:fldChar w:fldCharType="begin"/>
      <w:instrText xml:space="preserve">PAGE</w:instrText>
      <w:fldChar w:fldCharType="separate"/>
      <w:t>1</w:t>
      <w:fldChar w:fldCharType="end"/>
    </w:r>
    <w:r>
      <w:rPr>
        <w:rFonts w:ascii="Segoe UI" w:hAnsi="Segoe UI" w:eastAsia="Segoe UI" w:cs="Segoe UI"/>
        <w:sz w:val="15"/>
      </w:rPr>
      <w:t xml:space="preserve"> of </w:t>
    </w:r>
    <w:r>
      <w:rPr>
        <w:rFonts w:ascii="Segoe UI" w:hAnsi="Segoe UI" w:eastAsia="Segoe UI" w:cs="Segoe UI"/>
        <w:sz w:val="15"/>
      </w:rPr>
      <w:fldChar w:fldCharType="begin"/>
      <w:instrText xml:space="preserve">NUMPAGES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  <w:pBdr>
        <w:bottom w:val="single" w:sz="8" w:space="4" w:color="E59B24"/>
      </w:pBdr>
    </w:pPr>
    <w:r>
      <w:rPr>
        <w:rFonts w:ascii="Segoe UI" w:hAnsi="Segoe UI" w:eastAsia="Segoe UI" w:cs="Segoe UI"/>
        <w:b/>
        <w:color w:val="5B1933"/>
        <w:sz w:val="17"/>
      </w:rPr>
      <w:t xml:space="preserve">KUTUMBA  •  </w:t>
    </w:r>
    <w:r>
      <w:rPr>
        <w:rFonts w:ascii="Segoe UI" w:hAnsi="Segoe UI" w:eastAsia="Segoe UI" w:cs="Segoe UI"/>
        <w:color w:val="4F7C78"/>
        <w:sz w:val="17"/>
      </w:rPr>
      <w:t>C2-W5  |  older-teacher-guide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displayBackgroundShape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20" w:line="259" w:lineRule="auto"/>
    </w:pPr>
    <w:rPr>
      <w:rFonts w:ascii="Calibri" w:hAnsi="Calibri" w:eastAsia="Calibri"/>
      <w:b w:val="0"/>
      <w:color w:val="2E303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40"/>
      <w:outlineLvl w:val="0"/>
    </w:pPr>
    <w:rPr>
      <w:rFonts w:asciiTheme="majorHAnsi" w:eastAsiaTheme="majorEastAsia" w:hAnsiTheme="majorHAnsi" w:cstheme="majorBidi" w:ascii="Cambria" w:hAnsi="Cambria" w:eastAsia="Cambria"/>
      <w:b/>
      <w:bCs/>
      <w:color w:val="5B1933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00"/>
      <w:outlineLvl w:val="1"/>
    </w:pPr>
    <w:rPr>
      <w:rFonts w:asciiTheme="majorHAnsi" w:eastAsiaTheme="majorEastAsia" w:hAnsiTheme="majorHAnsi" w:cstheme="majorBidi" w:ascii="Cambria" w:hAnsi="Cambria" w:eastAsia="Cambria"/>
      <w:b/>
      <w:bCs/>
      <w:color w:val="7A263A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80"/>
      <w:outlineLvl w:val="2"/>
    </w:pPr>
    <w:rPr>
      <w:rFonts w:asciiTheme="majorHAnsi" w:eastAsiaTheme="majorEastAsia" w:hAnsiTheme="majorHAnsi" w:cstheme="majorBidi" w:ascii="Cambria" w:hAnsi="Cambria" w:eastAsia="Cambria"/>
      <w:b/>
      <w:bCs/>
      <w:color w:val="4F7C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140" w:after="60"/>
      <w:outlineLvl w:val="3"/>
    </w:pPr>
    <w:rPr>
      <w:rFonts w:asciiTheme="majorHAnsi" w:eastAsiaTheme="majorEastAsia" w:hAnsiTheme="majorHAnsi" w:cstheme="majorBidi" w:ascii="Cambria" w:hAnsi="Cambria" w:eastAsia="Cambria"/>
      <w:b/>
      <w:bCs/>
      <w:i/>
      <w:iCs/>
      <w:color w:val="5B1933"/>
      <w:sz w:val="2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200" w:line="240" w:lineRule="auto"/>
      <w:contextualSpacing/>
    </w:pPr>
    <w:rPr>
      <w:rFonts w:asciiTheme="majorHAnsi" w:eastAsiaTheme="majorEastAsia" w:hAnsiTheme="majorHAnsi" w:cstheme="majorBidi" w:ascii="Cambria" w:hAnsi="Cambria" w:eastAsia="Cambria"/>
      <w:b/>
      <w:color w:val="5B1933"/>
      <w:spacing w:val="5"/>
      <w:kern w:val="28"/>
      <w:sz w:val="6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160"/>
    </w:pPr>
    <w:rPr>
      <w:rFonts w:asciiTheme="majorHAnsi" w:eastAsiaTheme="majorEastAsia" w:hAnsiTheme="majorHAnsi" w:cstheme="majorBidi" w:ascii="Segoe UI" w:hAnsi="Segoe UI" w:eastAsia="Segoe UI"/>
      <w:b w:val="0"/>
      <w:i/>
      <w:iCs/>
      <w:color w:val="4F7C78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/>
      <w:contextualSpacing/>
    </w:pPr>
    <w:rPr>
      <w:rFonts w:ascii="Calibri" w:hAnsi="Calibri" w:eastAsia="Calibri"/>
      <w:b w:val="0"/>
      <w:color w:val="2E3033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after="60"/>
      <w:contextualSpacing/>
    </w:pPr>
    <w:rPr>
      <w:rFonts w:ascii="Calibri" w:hAnsi="Calibri" w:eastAsia="Calibri"/>
      <w:b w:val="0"/>
      <w:color w:val="2E3033"/>
      <w:sz w:val="21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/>
      <w:contextualSpacing/>
    </w:pPr>
    <w:rPr>
      <w:rFonts w:ascii="Calibri" w:hAnsi="Calibri" w:eastAsia="Calibri"/>
      <w:b w:val="0"/>
      <w:color w:val="2E3033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spacing w:after="60"/>
      <w:contextualSpacing/>
    </w:pPr>
    <w:rPr>
      <w:rFonts w:ascii="Calibri" w:hAnsi="Calibri" w:eastAsia="Calibri"/>
      <w:b w:val="0"/>
      <w:color w:val="2E3033"/>
      <w:sz w:val="21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>
      <w:spacing w:before="100" w:after="140"/>
      <w:ind w:left="360" w:right="216"/>
    </w:pPr>
    <w:rPr>
      <w:rFonts w:ascii="Cambria" w:hAnsi="Cambria" w:eastAsia="Cambria"/>
      <w:b w:val="0"/>
      <w:i/>
      <w:iCs/>
      <w:color w:val="5B1933"/>
      <w:sz w:val="2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Segoe UI" w:hAnsi="Segoe UI" w:eastAsia="Segoe UI"/>
      <w:b/>
      <w:bCs/>
      <w:color w:val="4F7C78"/>
      <w:sz w:val="17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KUTUMBAEyebrow">
    <w:name w:val="KUTUMBA Eyebrow"/>
    <w:pPr>
      <w:spacing w:after="80"/>
    </w:pPr>
    <w:rPr>
      <w:rFonts w:ascii="Segoe UI" w:hAnsi="Segoe UI" w:eastAsia="Segoe UI"/>
      <w:b/>
      <w:color w:val="E59B24"/>
      <w:sz w:val="18"/>
    </w:rPr>
  </w:style>
  <w:style w:type="paragraph" w:customStyle="1" w:styleId="KUTUMBAMeta">
    <w:name w:val="KUTUMBA Meta"/>
    <w:pPr>
      <w:spacing w:after="80"/>
    </w:pPr>
    <w:rPr>
      <w:rFonts w:ascii="Segoe UI" w:hAnsi="Segoe UI" w:eastAsia="Segoe UI"/>
      <w:b w:val="0"/>
      <w:color w:val="4F7C78"/>
      <w:sz w:val="18"/>
    </w:rPr>
  </w:style>
  <w:style w:type="paragraph" w:customStyle="1" w:styleId="KUTUMBACalloutLabel">
    <w:name w:val="KUTUMBA Callout Label"/>
    <w:pPr>
      <w:spacing w:after="80"/>
    </w:pPr>
    <w:rPr>
      <w:rFonts w:ascii="Segoe UI" w:hAnsi="Segoe UI" w:eastAsia="Segoe UI"/>
      <w:b/>
      <w:color w:val="FFFFFF"/>
      <w:sz w:val="17"/>
    </w:rPr>
  </w:style>
  <w:style w:type="paragraph" w:customStyle="1" w:styleId="KUTUMBACalloutBody">
    <w:name w:val="KUTUMBA Callout Body"/>
    <w:pPr>
      <w:spacing w:after="80"/>
    </w:pPr>
    <w:rPr>
      <w:rFonts w:ascii="Calibri" w:hAnsi="Calibri" w:eastAsia="Calibri"/>
      <w:b w:val="0"/>
      <w:color w:val="2E3033"/>
      <w:sz w:val="20"/>
    </w:rPr>
  </w:style>
  <w:style w:type="paragraph" w:customStyle="1" w:styleId="KUTUMBAVerseDevanagari">
    <w:name w:val="KUTUMBA Verse Devanagari"/>
    <w:pPr>
      <w:keepLines/>
      <w:spacing w:after="80"/>
    </w:pPr>
    <w:rPr>
      <w:rFonts w:ascii="Nirmala UI" w:hAnsi="Nirmala UI" w:eastAsia="Nirmala UI"/>
      <w:b w:val="0"/>
      <w:color w:val="5B1933"/>
      <w:sz w:val="30"/>
    </w:rPr>
  </w:style>
  <w:style w:type="paragraph" w:customStyle="1" w:styleId="KUTUMBAVerseIAST">
    <w:name w:val="KUTUMBA Verse IAST"/>
    <w:pPr>
      <w:keepLines/>
      <w:spacing w:after="80"/>
    </w:pPr>
    <w:rPr>
      <w:rFonts w:ascii="Calibri" w:hAnsi="Calibri" w:eastAsia="Calibri"/>
      <w:b w:val="0"/>
      <w:color w:val="4F7C78"/>
      <w:sz w:val="21"/>
    </w:rPr>
  </w:style>
  <w:style w:type="paragraph" w:customStyle="1" w:styleId="KUTUMBARights">
    <w:name w:val="KUTUMBA Rights"/>
    <w:pPr>
      <w:spacing w:after="80"/>
    </w:pPr>
    <w:rPr>
      <w:rFonts w:ascii="Segoe UI" w:hAnsi="Segoe UI" w:eastAsia="Segoe UI"/>
      <w:b w:val="0"/>
      <w:color w:val="2E3033"/>
      <w:sz w:val="16"/>
    </w:rPr>
  </w:style>
  <w:style w:type="table" w:customStyle="1" w:styleId="KUTUMBATable">
    <w:name w:val="KUTUMBA Table"/>
    <w:rPr>
      <w:rFonts w:ascii="Calibri" w:hAnsi="Calibri"/>
      <w:color w:val="2E3033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