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C2-W5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C2-W5 Younger Teacher Guide (K–2)</w:t>
      </w:r>
    </w:p>
    <w:p>
      <w:pPr>
        <w:pStyle w:val="Heading1"/>
      </w:pPr>
      <w:r>
        <w:t>Objective</w:t>
      </w:r>
    </w:p>
    <w:p>
      <w:r>
        <w:t>Māyā decorates bondage; shelter in Kṛṣṇa is the way out.</w:t>
      </w:r>
    </w:p>
    <w:p>
      <w:pPr>
        <w:pStyle w:val="Heading1"/>
      </w:pPr>
      <w:r>
        <w:t>Exact memory phrase</w:t>
      </w:r>
    </w:p>
    <w:p>
      <w:r>
        <w:t>&gt; Māyā decorates bondage; shelter in Kṛṣṇa is the way out.</w:t>
      </w:r>
    </w:p>
    <w:p>
      <w:pPr>
        <w:pStyle w:val="Heading1"/>
      </w:pPr>
      <w:r>
        <w:t>Teacher background</w:t>
      </w:r>
    </w:p>
    <w:p>
      <w:r>
        <w:t>Primary BG 7.14. Block: Hate all material duty.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C2-W5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