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C2-W6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C2-W6 Older Teacher Guide (Grades 4–5)</w:t>
      </w:r>
    </w:p>
    <w:p>
      <w:pPr>
        <w:pStyle w:val="Heading1"/>
      </w:pPr>
      <w:r>
        <w:t>Objective</w:t>
      </w:r>
    </w:p>
    <w:p>
      <w:r>
        <w:t>Explain: Choice, consequence, and modes form one practice. using Cycle 2 review (BG 18.63 center).</w:t>
      </w:r>
    </w:p>
    <w:p>
      <w:pPr>
        <w:pStyle w:val="Heading1"/>
      </w:pPr>
      <w:r>
        <w:t>Text observation</w:t>
      </w:r>
    </w:p>
    <w:p>
      <w:r>
        <w:t>Open https://vedabase.io/en/library/bg/18/63/.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Ranking families.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C2-W6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