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C2-W6 Younger Teacher Guide (K–2)</w:t>
      </w:r>
    </w:p>
    <w:p>
      <w:pPr>
        <w:pStyle w:val="Heading1"/>
      </w:pPr>
      <w:r>
        <w:t>Objective</w:t>
      </w:r>
    </w:p>
    <w:p>
      <w:r>
        <w:t>Can we explain how action, choice, and modes shape our week?</w:t>
      </w:r>
    </w:p>
    <w:p>
      <w:pPr>
        <w:pStyle w:val="Heading1"/>
      </w:pPr>
      <w:r>
        <w:t>Exact memory phrase</w:t>
      </w:r>
    </w:p>
    <w:p>
      <w:r>
        <w:t>&gt; Can we explain how action, choice, and modes shape our week?</w:t>
      </w:r>
    </w:p>
    <w:p>
      <w:pPr>
        <w:pStyle w:val="Heading1"/>
      </w:pPr>
      <w:r>
        <w:t>Teacher background</w:t>
      </w:r>
    </w:p>
    <w:p>
      <w:r>
        <w:t>Primary Cycle 2 review (BG 18.63 center). Block: Ranking families.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