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C3-W1 Younger Teacher Guide (K–2)</w:t>
      </w:r>
    </w:p>
    <w:p>
      <w:pPr>
        <w:pStyle w:val="Heading1"/>
      </w:pPr>
      <w:r>
        <w:t>Objective</w:t>
      </w:r>
    </w:p>
    <w:p>
      <w:r>
        <w:t>Who is God — enjoyer, proprietor, and friend.</w:t>
      </w:r>
    </w:p>
    <w:p>
      <w:pPr>
        <w:pStyle w:val="Heading1"/>
      </w:pPr>
      <w:r>
        <w:t>Exact memory phrase</w:t>
      </w:r>
    </w:p>
    <w:p>
      <w:r>
        <w:t>&gt; Who is God — enjoyer, proprietor, and friend.</w:t>
      </w:r>
    </w:p>
    <w:p>
      <w:pPr>
        <w:pStyle w:val="Heading1"/>
      </w:pPr>
      <w:r>
        <w:t>Teacher background</w:t>
      </w:r>
    </w:p>
    <w:p>
      <w:r>
        <w:t>Primary BG 5.29. Block: God is an impersonal force only.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