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C3-W4 OLDER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C3-W4 Older Teacher Guide (Grades 4–5)</w:t>
      </w:r>
    </w:p>
    <w:p>
      <w:pPr>
        <w:pStyle w:val="Heading1"/>
      </w:pPr>
      <w:r>
        <w:t>Objective</w:t>
      </w:r>
    </w:p>
    <w:p>
      <w:r>
        <w:t>Explain: The holy name cleanses the heart and spreads auspiciousness. using CC Antya 20.12 / Śikṣāṣṭaka 1 context.</w:t>
      </w:r>
    </w:p>
    <w:p>
      <w:pPr>
        <w:pStyle w:val="Heading1"/>
      </w:pPr>
      <w:r>
        <w:t>Text observation</w:t>
      </w:r>
    </w:p>
    <w:p>
      <w:r>
        <w:t>Open https://vedabase.io/en/library/cc/antya/20/12/. Students write setting/key phrase/paraphrase/what it does not say.</w:t>
      </w:r>
    </w:p>
    <w:p>
      <w:pPr>
        <w:pStyle w:val="Heading1"/>
      </w:pPr>
      <w:r>
        <w:t>Diagram / puzzle / scenarios</w:t>
      </w:r>
    </w:p>
    <w:p>
      <w:r>
        <w:t>Use V12 visuals and `activities/OLDER-ACTIVITY-PACK.md` + answer key.</w:t>
      </w:r>
    </w:p>
    <w:p>
      <w:pPr>
        <w:pStyle w:val="Heading1"/>
      </w:pPr>
      <w:r>
        <w:t>Misconception</w:t>
      </w:r>
    </w:p>
    <w:p>
      <w:r>
        <w:t>Force chanting as punishment.</w:t>
      </w:r>
    </w:p>
    <w:p>
      <w:pPr>
        <w:pStyle w:val="Heading1"/>
      </w:pPr>
      <w:r>
        <w:t>Project / reflection / extension</w:t>
      </w:r>
    </w:p>
    <w:p>
      <w:r>
        <w:t>Cycle contribution; reflection on analogy vs scripture; reunification sentence.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C3-W4  |  older-teacher-guide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