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C3-W4 Younger Teacher Guide (K–2)</w:t>
      </w:r>
    </w:p>
    <w:p>
      <w:pPr>
        <w:pStyle w:val="Heading1"/>
      </w:pPr>
      <w:r>
        <w:t>Objective</w:t>
      </w:r>
    </w:p>
    <w:p>
      <w:r>
        <w:t>Śrī Caitanya Mahāprabhu and the holy name.</w:t>
      </w:r>
    </w:p>
    <w:p>
      <w:pPr>
        <w:pStyle w:val="Heading1"/>
      </w:pPr>
      <w:r>
        <w:t>Exact memory phrase</w:t>
      </w:r>
    </w:p>
    <w:p>
      <w:r>
        <w:t>&gt; Śrī Caitanya Mahāprabhu and the holy name.</w:t>
      </w:r>
    </w:p>
    <w:p>
      <w:pPr>
        <w:pStyle w:val="Heading1"/>
      </w:pPr>
      <w:r>
        <w:t>Teacher background</w:t>
      </w:r>
    </w:p>
    <w:p>
      <w:r>
        <w:t>Primary CC Antya 20.12 / Śikṣāṣṭaka 1 context. Block: Force chanting as punishment.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