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C3-W5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C3-W5 Younger Teacher Guide (K–2)</w:t>
      </w:r>
    </w:p>
    <w:p>
      <w:pPr>
        <w:pStyle w:val="Heading1"/>
      </w:pPr>
      <w:r>
        <w:t>Objective</w:t>
      </w:r>
    </w:p>
    <w:p>
      <w:r>
        <w:t>The nine processes of bhakti as a family map.</w:t>
      </w:r>
    </w:p>
    <w:p>
      <w:pPr>
        <w:pStyle w:val="Heading1"/>
      </w:pPr>
      <w:r>
        <w:t>Exact memory phrase</w:t>
      </w:r>
    </w:p>
    <w:p>
      <w:r>
        <w:t>&gt; The nine processes of bhakti as a family map.</w:t>
      </w:r>
    </w:p>
    <w:p>
      <w:pPr>
        <w:pStyle w:val="Heading1"/>
      </w:pPr>
      <w:r>
        <w:t>Teacher background</w:t>
      </w:r>
    </w:p>
    <w:p>
      <w:r>
        <w:t>Primary ŚB 7.5.23–24. Block: Require mastering all nine at once.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C3-W5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