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C2-W1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r>
        <w:t>This guide is executable classroom content. It is not a claim of temple publication approval, BBT ownership of KUTUMBA materials, or completed human doctrinal sign-off. Sanskrit verse text is from VedaBase display; KUTUMBA teaching meanings are original pedagogical paraphrases and must not be labeled as BBT translations.</w:t>
      </w:r>
    </w:p>
    <w:p>
      <w:pPr>
        <w:pStyle w:val="KUTUMBAMeta"/>
        <w:jc w:val="center"/>
      </w:pPr>
      <w:r>
        <w:t>◆  ◆  ◆</w:t>
      </w:r>
    </w:p>
    <w:p>
      <w:pPr>
        <w:pStyle w:val="Heading2"/>
      </w:pPr>
      <w:r>
        <w:t>Two-minute summary</w:t>
      </w:r>
    </w:p>
    <w:p>
      <w:r>
        <w:t xml:space="preserve">Work done only for separate material interest causes bondage; work done for Viṣṇu, performed without selfish attachment, can be purified. Primary text: </w:t>
      </w:r>
      <w:r>
        <w:rPr>
          <w:b/>
        </w:rPr>
        <w:t>Bhagavad-gītā 3.9</w:t>
      </w:r>
      <w:r>
        <w:t xml:space="preserve"> (https://vedabase.io/en/library/bg/3/9/). Essential question: </w:t>
      </w:r>
      <w:r>
        <w:rPr>
          <w:b/>
        </w:rPr>
        <w:t>How do our actions bind or free us?</w:t>
      </w:r>
      <w:r>
        <w:t xml:space="preserve"> Misconceptions to block tonight: fatalism that removes responsibility, and victim-blaming that diagnoses another person’s illness, poverty, or hardship as a specific past karma. Next week (C2-W2) opens free will and responsibility with BG 18.63 — do not import that full ontology early.</w:t>
      </w:r>
    </w:p>
    <w:p>
      <w:pPr>
        <w:pStyle w:val="KUTUMBAMeta"/>
        <w:jc w:val="center"/>
      </w:pPr>
      <w:r>
        <w:t>◆  ◆  ◆</w:t>
      </w:r>
    </w:p>
    <w:p>
      <w:pPr>
        <w:pStyle w:val="Heading2"/>
      </w:pPr>
      <w:r>
        <w:t>Curriculum purpose (teach this, not more)</w:t>
      </w:r>
    </w:p>
    <w:p>
      <w:r>
        <w:t xml:space="preserve">Introduce karma as action and reaction under material nature. Show that work offered for Viṣṇu can be purified. Run the Bhakti Lab </w:t>
      </w:r>
      <w:r>
        <w:rPr>
          <w:b/>
        </w:rPr>
        <w:t>Before–During–After Service Method</w:t>
      </w:r>
      <w:r>
        <w:t xml:space="preserve">. Home practice: use before–during–after once on a routine duty. Memory line for adults: </w:t>
      </w:r>
      <w:r>
        <w:rPr>
          <w:i/>
        </w:rPr>
        <w:t>Work done only for separate material interest causes bondage; work done for Viṣṇu should be performed without selfish attachment.</w:t>
      </w:r>
      <w:r>
        <w:t xml:space="preserve"> Child memory (younger track): </w:t>
      </w:r>
      <w:r>
        <w:rPr>
          <w:i/>
        </w:rPr>
        <w:t>Choices are seeds. I want to plant service seeds.</w:t>
      </w:r>
    </w:p>
    <w:p>
      <w:pPr>
        <w:pStyle w:val="KUTUMBAMeta"/>
        <w:jc w:val="center"/>
      </w:pPr>
      <w:r>
        <w:t>◆  ◆  ◆</w:t>
      </w:r>
    </w:p>
    <w:p>
      <w:pPr>
        <w:pStyle w:val="Heading2"/>
      </w:pPr>
      <w:r>
        <w:t>15-minute night-before prep</w:t>
      </w:r>
    </w:p>
    <w:p>
      <w:r>
        <w:t xml:space="preserve">Cite readiness standards: </w:t>
      </w:r>
      <w:r>
        <w:rPr>
          <w:rFonts w:ascii="Consolas" w:hAnsi="Consolas"/>
          <w:color w:val="7A263A"/>
          <w:sz w:val="18"/>
        </w:rPr>
        <w:t>launch/TEACHER-READINESS-STANDARD.md</w:t>
      </w:r>
      <w:r>
        <w:t xml:space="preserve"> and </w:t>
      </w:r>
      <w:r>
        <w:rPr>
          <w:rFonts w:ascii="Consolas" w:hAnsi="Consolas"/>
          <w:color w:val="7A263A"/>
          <w:sz w:val="18"/>
        </w:rPr>
        <w:t>launch/TEACHER-PRE-WEEK-CHECKLIST.md</w:t>
      </w:r>
      <w:r>
        <w:t xml:space="preserve">, plus this week’s </w:t>
      </w:r>
      <w:r>
        <w:rPr>
          <w:rFonts w:ascii="Consolas" w:hAnsi="Consolas"/>
          <w:color w:val="7A263A"/>
          <w:sz w:val="18"/>
        </w:rPr>
        <w:t>teacher/PRE-WEEK-CHECKLIST.md</w:t>
      </w:r>
      <w:r>
        <w:t>.</w:t>
      </w:r>
    </w:p>
    <w:p>
      <w:pPr>
        <w:pStyle w:val="ListNumber"/>
      </w:pPr>
      <w:r>
        <w:t>Open https://vedabase.io/en/library/bg/3/9/ on your phone or laptop. Confirm the page loads. Reread Devanāgarī, IAST, and the KUTUMBA teaching meaning below — do not invent a new paraphrase.</w:t>
      </w:r>
    </w:p>
    <w:p>
      <w:pPr>
        <w:pStyle w:val="ListNumber"/>
      </w:pPr>
      <w:r>
        <w:t>Skim supporting pages once: BG 4.16, 4.17, 4.18, 3.13, and SB 10.64 chapter summary page (URLs in readings section).</w:t>
      </w:r>
    </w:p>
    <w:p>
      <w:pPr>
        <w:pStyle w:val="ListNumber"/>
      </w:pPr>
      <w:r>
        <w:t>Rehearse the opening speaking script aloud for eight minutes without stopping. Time yourself. If you overshoot twelve minutes, cut examples, not the verse or the misconception block.</w:t>
      </w:r>
    </w:p>
    <w:p>
      <w:pPr>
        <w:pStyle w:val="ListNumber"/>
      </w:pPr>
      <w:r>
        <w:t>Pack younger materials (seed cards or picture seeds, crayons, take-home phrase cards, soft toss object) and older materials (verse observation sheets, action-chain cards, intention–method–consequence diagram copies, pencils).</w:t>
      </w:r>
    </w:p>
    <w:p>
      <w:pPr>
        <w:pStyle w:val="ListNumber"/>
      </w:pPr>
      <w:r>
        <w:t>Write three questions on a sticky note: one discovery, one understanding, one application (use the question banks below).</w:t>
      </w:r>
    </w:p>
    <w:p>
      <w:pPr>
        <w:pStyle w:val="ListNumber"/>
      </w:pPr>
      <w:r>
        <w:t>Confirm snack and water only — no weekly meal. Confirm parents remain onsite. Confirm privacy: no private family conflict details written into shared folders.</w:t>
      </w:r>
    </w:p>
    <w:p>
      <w:pPr>
        <w:pStyle w:val="ListNumber"/>
      </w:pPr>
      <w:r>
        <w:t>State aloud the two blocked misconceptions: “Fatalism removes responsibility” and “We may diagnose someone else’s suffering as a specific past karma.”</w:t>
      </w:r>
    </w:p>
    <w:p>
      <w:r>
        <w:t>You are lesson-ready only when you can state the week objective in one sentence, name the primary source, name one misconception, and run the activity without inventing doctrine (</w:t>
      </w:r>
      <w:r>
        <w:rPr>
          <w:rFonts w:ascii="Consolas" w:hAnsi="Consolas"/>
          <w:color w:val="7A263A"/>
          <w:sz w:val="18"/>
        </w:rPr>
        <w:t>launch/TEACHER-READINESS-STANDARD.md</w:t>
      </w:r>
      <w:r>
        <w:t>).</w:t>
      </w:r>
    </w:p>
    <w:p>
      <w:pPr>
        <w:pStyle w:val="KUTUMBAMeta"/>
        <w:jc w:val="center"/>
      </w:pPr>
      <w:r>
        <w:t>◆  ◆  ◆</w:t>
      </w:r>
    </w:p>
    <w:p>
      <w:pPr>
        <w:pStyle w:val="Heading2"/>
      </w:pPr>
      <w:r>
        <w:t>60-minute deep prep (recommended once before first delivery)</w:t>
      </w:r>
    </w:p>
    <w:p>
      <w:pPr>
        <w:pStyle w:val="ListNumber"/>
      </w:pPr>
      <w:r>
        <w:t>Read this entire guide once, marking places you will speak versus places you will ask.</w:t>
      </w:r>
    </w:p>
    <w:p>
      <w:pPr>
        <w:pStyle w:val="ListNumber"/>
      </w:pPr>
      <w:r>
        <w:t xml:space="preserve">Read </w:t>
      </w:r>
      <w:r>
        <w:rPr>
          <w:rFonts w:ascii="Consolas" w:hAnsi="Consolas"/>
          <w:color w:val="7A263A"/>
          <w:sz w:val="18"/>
        </w:rPr>
        <w:t>research/SCRIPTURAL-EXAMPLES.md</w:t>
      </w:r>
      <w:r>
        <w:t xml:space="preserve">, </w:t>
      </w:r>
      <w:r>
        <w:rPr>
          <w:rFonts w:ascii="Consolas" w:hAnsi="Consolas"/>
          <w:color w:val="7A263A"/>
          <w:sz w:val="18"/>
        </w:rPr>
        <w:t>research/DEVOTIONAL-AND-HISTORICAL-EXAMPLES.md</w:t>
      </w:r>
      <w:r>
        <w:t xml:space="preserve">, </w:t>
      </w:r>
      <w:r>
        <w:rPr>
          <w:rFonts w:ascii="Consolas" w:hAnsi="Consolas"/>
          <w:color w:val="7A263A"/>
          <w:sz w:val="18"/>
        </w:rPr>
        <w:t>research/CASE-STUDIES.md</w:t>
      </w:r>
      <w:r>
        <w:t xml:space="preserve">, </w:t>
      </w:r>
      <w:r>
        <w:rPr>
          <w:rFonts w:ascii="Consolas" w:hAnsi="Consolas"/>
          <w:color w:val="7A263A"/>
          <w:sz w:val="18"/>
        </w:rPr>
        <w:t>research/ANALOGIES-AND-LIMITS.md</w:t>
      </w:r>
      <w:r>
        <w:t xml:space="preserve">, and </w:t>
      </w:r>
      <w:r>
        <w:rPr>
          <w:rFonts w:ascii="Consolas" w:hAnsi="Consolas"/>
          <w:color w:val="7A263A"/>
          <w:sz w:val="18"/>
        </w:rPr>
        <w:t>research/SCIENCE-AND-APPLICATION.md</w:t>
      </w:r>
      <w:r>
        <w:t xml:space="preserve"> so the classroom versions below stay consistent with the research pack.</w:t>
      </w:r>
    </w:p>
    <w:p>
      <w:pPr>
        <w:pStyle w:val="ListNumber"/>
      </w:pPr>
      <w:r>
        <w:t>Practice the King Nṛga paraphrase (care and accountability) without invented dialogue and without graphic hell imagery for children.</w:t>
      </w:r>
    </w:p>
    <w:p>
      <w:pPr>
        <w:pStyle w:val="ListNumber"/>
      </w:pPr>
      <w:r>
        <w:t>Walk the room: arrival table, mantra zone, parent circle, younger track corner, older track table, reunification circle, snack table, saṅkalpa cards.</w:t>
      </w:r>
    </w:p>
    <w:p>
      <w:pPr>
        <w:pStyle w:val="ListNumber"/>
      </w:pPr>
      <w:r>
        <w:t>Prepare one printed home-practice card per family: “One routine duty · Before · During · After · Day/time.”</w:t>
      </w:r>
    </w:p>
    <w:p>
      <w:pPr>
        <w:pStyle w:val="ListNumber"/>
      </w:pPr>
      <w:r>
        <w:t xml:space="preserve">Review the approved deferral line from </w:t>
      </w:r>
      <w:r>
        <w:rPr>
          <w:rFonts w:ascii="Consolas" w:hAnsi="Consolas"/>
          <w:color w:val="7A263A"/>
          <w:sz w:val="18"/>
        </w:rPr>
        <w:t>launch/TEACHER-READINESS-STANDARD.md</w:t>
      </w:r>
      <w:r>
        <w:t xml:space="preserve">: </w:t>
      </w:r>
      <w:r>
        <w:rPr>
          <w:i/>
        </w:rPr>
        <w:t>I don’t want to guess. I will verify that from Śrīla Prabhupāda’s books / our source packet and come back to you.</w:t>
      </w:r>
    </w:p>
    <w:p>
      <w:pPr>
        <w:pStyle w:val="ListNumber"/>
      </w:pPr>
      <w:r>
        <w:t>Brief co-teachers: stop victim-blaming language immediately and calmly; never force confession; end on time.</w:t>
      </w:r>
    </w:p>
    <w:p>
      <w:pPr>
        <w:pStyle w:val="KUTUMBAMeta"/>
        <w:jc w:val="center"/>
      </w:pPr>
      <w:r>
        <w:t>◆  ◆  ◆</w:t>
      </w:r>
    </w:p>
    <w:p>
      <w:pPr>
        <w:pStyle w:val="Heading2"/>
      </w:pPr>
      <w:r>
        <w:t>Exact primary reading — BG 3.9</w:t>
      </w:r>
    </w:p>
    <w:p>
      <w:pPr>
        <w:pStyle w:val="ListBullet"/>
      </w:pPr>
      <w:r>
        <w:rPr>
          <w:b/>
        </w:rPr>
        <w:t>Reference:</w:t>
      </w:r>
      <w:r>
        <w:t xml:space="preserve"> Bhagavad-gītā 3.9</w:t>
      </w:r>
    </w:p>
    <w:p>
      <w:pPr>
        <w:pStyle w:val="ListBullet"/>
      </w:pPr>
      <w:r>
        <w:rPr>
          <w:b/>
        </w:rPr>
        <w:t>URL:</w:t>
      </w:r>
      <w:r>
        <w:t xml:space="preserv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pPr>
        <w:pStyle w:val="ListBullet"/>
      </w:pPr>
      <w:r>
        <w:rPr>
          <w:b/>
        </w:rPr>
        <w:t>Rights note:</w:t>
      </w:r>
      <w:r>
        <w:t xml:space="preserve"> Sanskrit verse text from VedaBase display; KUTUMBA teaching meaning original. Do not label the teaching meaning as a BBT translation.</w:t>
      </w:r>
    </w:p>
    <w:p>
      <w:pPr>
        <w:pStyle w:val="KUTUMBAMeta"/>
        <w:jc w:val="center"/>
      </w:pPr>
      <w:r>
        <w:t>◆  ◆  ◆</w:t>
      </w:r>
    </w:p>
    <w:p>
      <w:pPr>
        <w:pStyle w:val="Heading2"/>
      </w:pPr>
      <w:r>
        <w:t>Exact supporting readings</w:t>
      </w:r>
    </w:p>
    <w:p>
      <w:pPr>
        <w:pStyle w:val="Heading3"/>
      </w:pPr>
      <w:r>
        <w:t>BG 4.16 — https://vedabase.io/en/library/bg/4/16/</w:t>
      </w:r>
    </w:p>
    <w:p>
      <w:pPr>
        <w:pStyle w:val="ListBullet"/>
      </w:pPr>
      <w:r>
        <w:rPr>
          <w:b/>
        </w:rPr>
        <w:t>Devanāgarī:</w:t>
      </w:r>
      <w:r>
        <w:t xml:space="preserve"> किं कर्म किमकर्मेति कवयोऽप्यत्र मोहिताः । तत्ते कर्म प्रवक्ष्यामि यज्ज्ञात्वा मोक्ष्यसेऽशुभात् ॥ १६ ॥</w:t>
      </w:r>
    </w:p>
    <w:p>
      <w:pPr>
        <w:pStyle w:val="ListBullet"/>
      </w:pPr>
      <w:r>
        <w:rPr>
          <w:b/>
        </w:rPr>
        <w:t>IAST:</w:t>
      </w:r>
      <w:r>
        <w:t xml:space="preserve"> kiṁ karma kim akarmeti kavayo ’py atra mohitāḥ / tat te karma pravakṣyāmi yaj jñātvā mokṣyase ’śubhāt</w:t>
      </w:r>
    </w:p>
    <w:p>
      <w:pPr>
        <w:pStyle w:val="ListBullet"/>
      </w:pPr>
      <w:r>
        <w:rPr>
          <w:b/>
        </w:rPr>
        <w:t>KUTUMBA teaching meaning:</w:t>
      </w:r>
      <w:r>
        <w:t xml:space="preserve"> Even thoughtful people become confused about what action and what inaction really are; the Lord teaches action so that understanding can free one from misfortune.</w:t>
      </w:r>
    </w:p>
    <w:p>
      <w:pPr>
        <w:pStyle w:val="ListBullet"/>
      </w:pPr>
      <w:r>
        <w:rPr>
          <w:b/>
        </w:rPr>
        <w:t>Classroom use:</w:t>
      </w:r>
      <w:r>
        <w:t xml:space="preserve"> Show that “just do something” or “do nothing” are both too shallow; we need the Lord’s definition of action.</w:t>
      </w:r>
    </w:p>
    <w:p>
      <w:pPr>
        <w:pStyle w:val="Heading3"/>
      </w:pPr>
      <w:r>
        <w:t>BG 4.17 — https://vedabase.io/en/library/bg/4/17/</w:t>
      </w:r>
    </w:p>
    <w:p>
      <w:pPr>
        <w:pStyle w:val="ListBullet"/>
      </w:pPr>
      <w:r>
        <w:rPr>
          <w:b/>
        </w:rPr>
        <w:t>Devanāgarī:</w:t>
      </w:r>
      <w:r>
        <w:t xml:space="preserve"> कर्मणो ह्यपि बोद्धव्यं बोद्धव्यं च विकर्मणः । अकर्मणश्च बोद्धव्यं गहना कर्मणो गतिः ॥ १७ ॥</w:t>
      </w:r>
    </w:p>
    <w:p>
      <w:pPr>
        <w:pStyle w:val="ListBullet"/>
      </w:pPr>
      <w:r>
        <w:rPr>
          <w:b/>
        </w:rPr>
        <w:t>IAST:</w:t>
      </w:r>
      <w:r>
        <w:t xml:space="preserve"> karmaṇo hy api boddhavyaṁ boddhavyaṁ ca vikarmaṇaḥ / akarmaṇaś ca boddhavyaṁ gahanā karmaṇo gatiḥ</w:t>
      </w:r>
    </w:p>
    <w:p>
      <w:pPr>
        <w:pStyle w:val="ListBullet"/>
      </w:pPr>
      <w:r>
        <w:rPr>
          <w:b/>
        </w:rPr>
        <w:t>KUTUMBA teaching meaning:</w:t>
      </w:r>
      <w:r>
        <w:t xml:space="preserve"> One should carefully understand action, forbidden action, and inaction — because the path of karma is deep and easy to misunderstand.</w:t>
      </w:r>
    </w:p>
    <w:p>
      <w:pPr>
        <w:pStyle w:val="ListBullet"/>
      </w:pPr>
      <w:r>
        <w:rPr>
          <w:b/>
        </w:rPr>
        <w:t>Classroom use:</w:t>
      </w:r>
      <w:r>
        <w:t xml:space="preserve"> Introduce a light taxonomy (action / forbidden action / inaction) without claiming a complete scholarly map of all karma categories.</w:t>
      </w:r>
    </w:p>
    <w:p>
      <w:pPr>
        <w:pStyle w:val="Heading3"/>
      </w:pPr>
      <w:r>
        <w:t>BG 4.18 — https://vedabase.io/en/library/bg/4/18/</w:t>
      </w:r>
    </w:p>
    <w:p>
      <w:pPr>
        <w:pStyle w:val="ListBullet"/>
      </w:pPr>
      <w:r>
        <w:rPr>
          <w:b/>
        </w:rPr>
        <w:t>Devanāgarī:</w:t>
      </w:r>
      <w:r>
        <w:t xml:space="preserve"> कर्मण्यकर्म यः पश्येदकर्मणि च कर्म यः । स बुद्धिमान्मनुष्येषु स युक्तः कृत्स्नकर्मकृत् ॥ १८ ॥</w:t>
      </w:r>
    </w:p>
    <w:p>
      <w:pPr>
        <w:pStyle w:val="ListBullet"/>
      </w:pPr>
      <w:r>
        <w:rPr>
          <w:b/>
        </w:rPr>
        <w:t>IAST:</w:t>
      </w:r>
      <w:r>
        <w:t xml:space="preserve"> karmaṇy akarma yaḥ paśyed akarmaṇi ca karma yaḥ / sa buddhimān manuṣyeṣu sa yuktaḥ kṛtsna-karma-kṛt</w:t>
      </w:r>
    </w:p>
    <w:p>
      <w:pPr>
        <w:pStyle w:val="ListBullet"/>
      </w:pPr>
      <w:r>
        <w:rPr>
          <w:b/>
        </w:rPr>
        <w:t>KUTUMBA teaching meaning:</w:t>
      </w:r>
      <w:r>
        <w:t xml:space="preserve"> One who sees freedom from binding reaction even while working, and sees binding reaction even in apparent idleness, is wise and engaged rightly.</w:t>
      </w:r>
    </w:p>
    <w:p>
      <w:pPr>
        <w:pStyle w:val="ListBullet"/>
      </w:pPr>
      <w:r>
        <w:rPr>
          <w:b/>
        </w:rPr>
        <w:t>Classroom use:</w:t>
      </w:r>
      <w:r>
        <w:t xml:space="preserve"> Stopping work is not automatically liberation; offered work can be freer than idle selfishness.</w:t>
      </w:r>
    </w:p>
    <w:p>
      <w:pPr>
        <w:pStyle w:val="Heading3"/>
      </w:pPr>
      <w:r>
        <w:t>BG 3.13 — https://vedabase.io/en/library/bg/3/13/</w:t>
      </w:r>
    </w:p>
    <w:p>
      <w:pPr>
        <w:pStyle w:val="ListBullet"/>
      </w:pPr>
      <w:r>
        <w:rPr>
          <w:b/>
        </w:rPr>
        <w:t>Devanāgarī:</w:t>
      </w:r>
      <w:r>
        <w:t xml:space="preserve"> यज्ञशिष्टाशिनः सन्तो मुच्यन्ते सर्वकिल्बिषैः । भुञ्जते ते त्वघं पापा ये पचन्त्यात्मकारणात् ॥ १३ ॥</w:t>
      </w:r>
    </w:p>
    <w:p>
      <w:pPr>
        <w:pStyle w:val="ListBullet"/>
      </w:pPr>
      <w:r>
        <w:rPr>
          <w:b/>
        </w:rPr>
        <w:t>IAST:</w:t>
      </w:r>
      <w:r>
        <w:t xml:space="preserve"> yajña-śiṣṭāśinaḥ santo mucyante sarva-kilbiṣaiḥ / bhuñjate te tv aghaṁ pāpā ye pacanty ātma-kāraṇāt</w:t>
      </w:r>
    </w:p>
    <w:p>
      <w:pPr>
        <w:pStyle w:val="ListBullet"/>
      </w:pPr>
      <w:r>
        <w:rPr>
          <w:b/>
        </w:rPr>
        <w:t>KUTUMBA teaching meaning:</w:t>
      </w:r>
      <w:r>
        <w:t xml:space="preserve"> Those who accept what remains after offering are purified; those who cook only for their own sense pleasure take on sinful reaction.</w:t>
      </w:r>
    </w:p>
    <w:p>
      <w:pPr>
        <w:pStyle w:val="ListBullet"/>
      </w:pPr>
      <w:r>
        <w:rPr>
          <w:b/>
        </w:rPr>
        <w:t>Classroom use:</w:t>
      </w:r>
      <w:r>
        <w:t xml:space="preserve"> Concrete kitchen analogy for offering versus self-centered consumption — with limits stated below.</w:t>
      </w:r>
    </w:p>
    <w:p>
      <w:pPr>
        <w:pStyle w:val="Heading3"/>
      </w:pPr>
      <w:r>
        <w:t>ŚB 10.64 (King Nṛga) — https://vedabase.io/en/library/sb/10/64/</w:t>
      </w:r>
    </w:p>
    <w:p>
      <w:pPr>
        <w:pStyle w:val="ListBullet"/>
      </w:pPr>
      <w:r>
        <w:rPr>
          <w:b/>
        </w:rPr>
        <w:t>KUTUMBA teaching use:</w:t>
      </w:r>
      <w:r>
        <w:t xml:space="preserve"> Paraphrase care, procedural error, unresolved conflict, and accountability. Do not invent dialogue. Avoid graphic cosmology with young children. Teaching point: even charitable intention does not erase the need for careful method and repair.</w:t>
      </w:r>
    </w:p>
    <w:p>
      <w:pPr>
        <w:pStyle w:val="ListBullet"/>
      </w:pPr>
      <w:r>
        <w:rPr>
          <w:b/>
        </w:rPr>
        <w:t>Limitation:</w:t>
      </w:r>
      <w:r>
        <w:t xml:space="preserve"> This chapter also warns strongly about usurping a brāhmaṇa’s property; keep adult discussion restrained and do not turn the night into fear pedagogy.</w:t>
      </w:r>
    </w:p>
    <w:p>
      <w:pPr>
        <w:pStyle w:val="KUTUMBAMeta"/>
        <w:jc w:val="center"/>
      </w:pPr>
      <w:r>
        <w:t>◆  ◆  ◆</w:t>
      </w:r>
    </w:p>
    <w:p>
      <w:pPr>
        <w:pStyle w:val="Heading2"/>
      </w:pPr>
      <w:r>
        <w:t>10–20 minute speaking SCRIPT (full prose)</w:t>
      </w:r>
    </w:p>
    <w:p>
      <w:r>
        <w:t>Deliver between approximately 2:10 and 2:28. Speak as continuous prose; do not read bullet outlines as if they were the talk.</w:t>
      </w:r>
    </w:p>
    <w:p>
      <w:r>
        <w:t>“Welcome, families. Tonight is C2-W1 — Action and Reaction: How Karma Binds. Our essential question is: How do our actions bind or free us? We are not here to rank families, force confessions, or invent secret diagnoses of anyone’s past lives. We are here to hear Bhagavad-gītā 3.9 carefully and practice one small change of intention and method.</w:t>
      </w:r>
    </w:p>
    <w:p>
      <w:r>
        <w:t>A parent once sent a hurried angry text message. The send button took ten seconds. The reaction — distrust, explanations, and a harder conflict — lasted for days. Another parent carefully repaired a child’s school project. The child felt supported. But the parent secretly waited for praise, and when praise did not come, resentment grew. In both situations the visible act was only part of the story. Intention, method, and consequence traveled together.</w:t>
      </w:r>
    </w:p>
    <w:p>
      <w:r>
        <w:t>Kṛṣṇa tells Arjuna in Bhagavad-gītā 3.9 — and please keep the VedaBase page ready — that work done for the satisfaction of the Lord frees us from bondage; otherwise action binds. Therefore we should act with detachment for His purpose. That is our KUTUMBA teaching meaning for tonight. The Sanskrit is on your verse card. We do not label that teaching meaning as a BBT translation. We open the source and stay honest about paraphrase.</w:t>
      </w:r>
    </w:p>
    <w:p>
      <w:r>
        <w:t>What is karma in this lesson? Karma here means action and reaction under material nature — not a vague word for ‘bad luck,’ not a license for fatalism, and not a weapon for blaming victims. If I act for separate material interest alone, reaction binds. If I act for Viṣṇu’s satisfaction without selfish attachment, that same field of work can be purified. Offering is not a magic sticker we slap on after careless work. Offering includes purpose before, care during, and gratitude and correction after.</w:t>
      </w:r>
    </w:p>
    <w:p>
      <w:r>
        <w:t>Bhagavad-gītā 4.16 through 4.18 help us stay humble. Even intelligent people become confused about action and inaction. We should understand action, forbidden action, and inaction carefully, because the path of karma is deep. One who sees freedom from binding reaction while working, and sees binding reaction even in apparent idleness, is wise. So tonight we do not teach ‘stop all duties.’ We teach ‘change the purpose and purify the method.’</w:t>
      </w:r>
    </w:p>
    <w:p>
      <w:r>
        <w:t>Bhagavad-gītā 3.13 gives a kitchen-level picture: those who accept what remains after offering are purified; those who cook only for their own sense pleasure take on sinful reaction. The point for families is not food perfectionism. The point is that self-centered consumption and God-centered offering are not the same moral act, even when the pots look identical.</w:t>
      </w:r>
    </w:p>
    <w:p>
      <w:r>
        <w:t>From Śrīmad-Bhāgavatam canto ten, chapter sixty-four, we remember King Nṛga in paraphrase only. He was famous for charity. Yet a cow belonging to one brāhmaṇa entered his herd, and without knowing that, he gave that cow to another brāhmaṇa. The conflict was not settled. Later he experienced a severe reaction. We do not invent speeches. We take one sober lesson: good intention does not cancel the need for careful method, and unresolved wrongs still matter. For children we emphasize care and accountability, not terror.</w:t>
      </w:r>
    </w:p>
    <w:p>
      <w:r>
        <w:t>Let me give three analogies with their limits. First, seed and fruit: choices plant seeds, and seeds tend toward results — sometimes delayed. Limit: not every hardship is a fruit you can name; do not diagnose another person’s suffering as a specific seed you invent. Second, a debt ledger: actions create entries that must be settled somehow. Limit: the Lord is not a cold accountant, and bhakti is not bookkeeping therapy. Third, cooking with offering versus cooking only for myself: the same labor can free or bind depending on purpose. Limit: saying ‘for Kṛṣṇa’ after reckless work does not purify negligence.</w:t>
      </w:r>
    </w:p>
    <w:p>
      <w:r>
        <w:t>We will practice three family cases tonight without using real names. Case one: the angry text. Mistaken conclusion: ‘It was only words; words don’t bind.’ Principle: speech is action; haste and anger shape consequence. Case two: a generous gift given mainly for praise. Mistaken conclusion: ‘Generosity always frees me.’ Principle: intention matters; praise-seeking can keep the act in bondage. Case three: careful repair of a child’s project without demanding thanks. Mistaken conclusion: ‘If I do not get recognition, the service was wasted.’ Principle: work for the Lord’s purpose can be done without selfish attachment.</w:t>
      </w:r>
    </w:p>
    <w:p>
      <w:r>
        <w:t>Two misconceptions we refuse tonight. Fatalism — ‘Everything is already written, so my next choice doesn’t matter’ — removes responsibility. Victim-blaming — ‘Your illness or poverty proves your past karma’ — is forbidden in this room. We never diagnose illness, disability, abuse, disaster, or poverty as a specific past action. If someone asks a hard speculative question, we use the deferral line and return with sources.</w:t>
      </w:r>
    </w:p>
    <w:p>
      <w:r>
        <w:t>In a few minutes younger and older tracks will practice at their level. Parents will stay with the adult analysis and the Before–During–After Service Method. At reunification each family will speak one sentence: one duty, one before, one during, one after. Snack is water and simple snack only. Parents remain onsite. We protect privacy. We end on time. Next week we will ask how free will and the next choice matter with Bhagavad-gītā 18.63. Tonight stays with how action binds — and how offering transforms work.”</w:t>
      </w:r>
    </w:p>
    <w:p>
      <w:pPr>
        <w:pStyle w:val="KUTUMBAMeta"/>
        <w:jc w:val="center"/>
      </w:pPr>
      <w:r>
        <w:t>◆  ◆  ◆</w:t>
      </w:r>
    </w:p>
    <w:p>
      <w:pPr>
        <w:pStyle w:val="Heading2"/>
      </w:pPr>
      <w:r>
        <w:t>Teaching map with 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action</w:t>
            </w:r>
          </w:p>
        </w:tc>
      </w:tr>
      <w:tr>
        <w:tc>
          <w:tcPr>
            <w:tcW w:type="dxa" w:w="3312"/>
            <w:tcMar>
              <w:top w:w="100" w:type="dxa"/>
              <w:start w:w="120" w:type="dxa"/>
              <w:bottom w:w="100" w:type="dxa"/>
              <w:end w:w="120" w:type="dxa"/>
            </w:tcMar>
            <w:vAlign w:val="top"/>
          </w:tcPr>
          <w:p>
            <w:r>
              <w:t>1:50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Greet; name tags; verse cards; no private data collection; water available</w:t>
            </w:r>
          </w:p>
        </w:tc>
      </w:tr>
      <w:tr>
        <w:tc>
          <w:tcPr>
            <w:tcW w:type="dxa" w:w="3312"/>
            <w:tcMar>
              <w:top w:w="100" w:type="dxa"/>
              <w:start w:w="120" w:type="dxa"/>
              <w:bottom w:w="100" w:type="dxa"/>
              <w:end w:w="120" w:type="dxa"/>
            </w:tcMar>
            <w:shd w:fill="FFF8E8"/>
            <w:vAlign w:val="top"/>
          </w:tcPr>
          <w:p>
            <w:r>
              <w:t>2:00</w:t>
            </w:r>
          </w:p>
        </w:tc>
        <w:tc>
          <w:tcPr>
            <w:tcW w:type="dxa" w:w="3312"/>
            <w:tcMar>
              <w:top w:w="100" w:type="dxa"/>
              <w:start w:w="120" w:type="dxa"/>
              <w:bottom w:w="100" w:type="dxa"/>
              <w:end w:w="120" w:type="dxa"/>
            </w:tcMar>
            <w:shd w:fill="FFF8E8"/>
            <w:vAlign w:val="top"/>
          </w:tcPr>
          <w:p>
            <w:r>
              <w:t>Mantras</w:t>
            </w:r>
          </w:p>
        </w:tc>
        <w:tc>
          <w:tcPr>
            <w:tcW w:type="dxa" w:w="3312"/>
            <w:tcMar>
              <w:top w:w="100" w:type="dxa"/>
              <w:start w:w="120" w:type="dxa"/>
              <w:bottom w:w="100" w:type="dxa"/>
              <w:end w:w="120" w:type="dxa"/>
            </w:tcMar>
            <w:shd w:fill="FFF8E8"/>
            <w:vAlign w:val="top"/>
          </w:tcPr>
          <w:p>
            <w:r>
              <w:t>Opening mantras per launch/OPENING-MANTRAS-HANDOUT.md practice; keep short and warm</w:t>
            </w:r>
          </w:p>
        </w:tc>
      </w:tr>
      <w:tr>
        <w:tc>
          <w:tcPr>
            <w:tcW w:type="dxa" w:w="3312"/>
            <w:tcMar>
              <w:top w:w="100" w:type="dxa"/>
              <w:start w:w="120" w:type="dxa"/>
              <w:bottom w:w="100" w:type="dxa"/>
              <w:end w:w="120" w:type="dxa"/>
            </w:tcMar>
            <w:vAlign w:val="top"/>
          </w:tcPr>
          <w:p>
            <w:r>
              <w:t>2:10</w:t>
            </w:r>
          </w:p>
        </w:tc>
        <w:tc>
          <w:tcPr>
            <w:tcW w:type="dxa" w:w="3312"/>
            <w:tcMar>
              <w:top w:w="100" w:type="dxa"/>
              <w:start w:w="120" w:type="dxa"/>
              <w:bottom w:w="100" w:type="dxa"/>
              <w:end w:w="120" w:type="dxa"/>
            </w:tcMar>
            <w:vAlign w:val="top"/>
          </w:tcPr>
          <w:p>
            <w:r>
              <w:t>Opening</w:t>
            </w:r>
          </w:p>
        </w:tc>
        <w:tc>
          <w:tcPr>
            <w:tcW w:type="dxa" w:w="3312"/>
            <w:tcMar>
              <w:top w:w="100" w:type="dxa"/>
              <w:start w:w="120" w:type="dxa"/>
              <w:bottom w:w="100" w:type="dxa"/>
              <w:end w:w="120" w:type="dxa"/>
            </w:tcMar>
            <w:vAlign w:val="top"/>
          </w:tcPr>
          <w:p>
            <w:r>
              <w:t>Deliver speaking script; display BG 3.9 URL; state essential question</w:t>
            </w:r>
          </w:p>
        </w:tc>
      </w:tr>
      <w:tr>
        <w:tc>
          <w:tcPr>
            <w:tcW w:type="dxa" w:w="3312"/>
            <w:tcMar>
              <w:top w:w="100" w:type="dxa"/>
              <w:start w:w="120" w:type="dxa"/>
              <w:bottom w:w="100" w:type="dxa"/>
              <w:end w:w="120" w:type="dxa"/>
            </w:tcMar>
            <w:shd w:fill="FFF8E8"/>
            <w:vAlign w:val="top"/>
          </w:tcPr>
          <w:p>
            <w:r>
              <w:t>2:30</w:t>
            </w:r>
          </w:p>
        </w:tc>
        <w:tc>
          <w:tcPr>
            <w:tcW w:type="dxa" w:w="3312"/>
            <w:tcMar>
              <w:top w:w="100" w:type="dxa"/>
              <w:start w:w="120" w:type="dxa"/>
              <w:bottom w:w="100" w:type="dxa"/>
              <w:end w:w="120" w:type="dxa"/>
            </w:tcMar>
            <w:shd w:fill="FFF8E8"/>
            <w:vAlign w:val="top"/>
          </w:tcPr>
          <w:p>
            <w:r>
              <w:t>Tracks</w:t>
            </w:r>
          </w:p>
        </w:tc>
        <w:tc>
          <w:tcPr>
            <w:tcW w:type="dxa" w:w="3312"/>
            <w:tcMar>
              <w:top w:w="100" w:type="dxa"/>
              <w:start w:w="120" w:type="dxa"/>
              <w:bottom w:w="100" w:type="dxa"/>
              <w:end w:w="120" w:type="dxa"/>
            </w:tcMar>
            <w:shd w:fill="FFF8E8"/>
            <w:vAlign w:val="top"/>
          </w:tcPr>
          <w:p>
            <w:r>
              <w:t>Parents: cases + Bhakti Lab. Younger: story/movement/craft. Older: text observation/puzzle/scenarios</w:t>
            </w:r>
          </w:p>
        </w:tc>
      </w:tr>
      <w:tr>
        <w:tc>
          <w:tcPr>
            <w:tcW w:type="dxa" w:w="3312"/>
            <w:tcMar>
              <w:top w:w="100" w:type="dxa"/>
              <w:start w:w="120" w:type="dxa"/>
              <w:bottom w:w="100" w:type="dxa"/>
              <w:end w:w="120" w:type="dxa"/>
            </w:tcMar>
            <w:vAlign w:val="top"/>
          </w:tcPr>
          <w:p>
            <w:r>
              <w:t>3:10</w:t>
            </w:r>
          </w:p>
        </w:tc>
        <w:tc>
          <w:tcPr>
            <w:tcW w:type="dxa" w:w="3312"/>
            <w:tcMar>
              <w:top w:w="100" w:type="dxa"/>
              <w:start w:w="120" w:type="dxa"/>
              <w:bottom w:w="100" w:type="dxa"/>
              <w:end w:w="120" w:type="dxa"/>
            </w:tcMar>
            <w:vAlign w:val="top"/>
          </w:tcPr>
          <w:p>
            <w:r>
              <w:t>Reunite</w:t>
            </w:r>
          </w:p>
        </w:tc>
        <w:tc>
          <w:tcPr>
            <w:tcW w:type="dxa" w:w="3312"/>
            <w:tcMar>
              <w:top w:w="100" w:type="dxa"/>
              <w:start w:w="120" w:type="dxa"/>
              <w:bottom w:w="100" w:type="dxa"/>
              <w:end w:w="120" w:type="dxa"/>
            </w:tcMar>
            <w:vAlign w:val="top"/>
          </w:tcPr>
          <w:p>
            <w:r>
              <w:t>Family synthesis sentence; no ranking; clap for effort not performance</w:t>
            </w:r>
          </w:p>
        </w:tc>
      </w:tr>
      <w:tr>
        <w:tc>
          <w:tcPr>
            <w:tcW w:type="dxa" w:w="3312"/>
            <w:tcMar>
              <w:top w:w="100" w:type="dxa"/>
              <w:start w:w="120" w:type="dxa"/>
              <w:bottom w:w="100" w:type="dxa"/>
              <w:end w:w="120" w:type="dxa"/>
            </w:tcMar>
            <w:shd w:fill="FFF8E8"/>
            <w:vAlign w:val="top"/>
          </w:tcPr>
          <w:p>
            <w:r>
              <w:t>3:30</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only; no weekly meal; parents onsite</w:t>
            </w:r>
          </w:p>
        </w:tc>
      </w:tr>
      <w:tr>
        <w:tc>
          <w:tcPr>
            <w:tcW w:type="dxa" w:w="3312"/>
            <w:tcMar>
              <w:top w:w="100" w:type="dxa"/>
              <w:start w:w="120" w:type="dxa"/>
              <w:bottom w:w="100" w:type="dxa"/>
              <w:end w:w="120" w:type="dxa"/>
            </w:tcMar>
            <w:vAlign w:val="top"/>
          </w:tcPr>
          <w:p>
            <w:r>
              <w:t>3:40</w:t>
            </w:r>
          </w:p>
        </w:tc>
        <w:tc>
          <w:tcPr>
            <w:tcW w:type="dxa" w:w="3312"/>
            <w:tcMar>
              <w:top w:w="100" w:type="dxa"/>
              <w:start w:w="120" w:type="dxa"/>
              <w:bottom w:w="100" w:type="dxa"/>
              <w:end w:w="120" w:type="dxa"/>
            </w:tcMar>
            <w:vAlign w:val="top"/>
          </w:tcPr>
          <w:p>
            <w:r>
              <w:t>Saṅkalpa</w:t>
            </w:r>
          </w:p>
        </w:tc>
        <w:tc>
          <w:tcPr>
            <w:tcW w:type="dxa" w:w="3312"/>
            <w:tcMar>
              <w:top w:w="100" w:type="dxa"/>
              <w:start w:w="120" w:type="dxa"/>
              <w:bottom w:w="100" w:type="dxa"/>
              <w:end w:w="120" w:type="dxa"/>
            </w:tcMar>
            <w:vAlign w:val="top"/>
          </w:tcPr>
          <w:p>
            <w:r>
              <w:t>One routine duty with before–during–after; write minimum version</w:t>
            </w:r>
          </w:p>
        </w:tc>
      </w:tr>
      <w:tr>
        <w:tc>
          <w:tcPr>
            <w:tcW w:type="dxa" w:w="3312"/>
            <w:tcMar>
              <w:top w:w="100" w:type="dxa"/>
              <w:start w:w="120" w:type="dxa"/>
              <w:bottom w:w="100" w:type="dxa"/>
              <w:end w:w="120" w:type="dxa"/>
            </w:tcMar>
            <w:shd w:fill="FFF8E8"/>
            <w:vAlign w:val="top"/>
          </w:tcPr>
          <w:p>
            <w:r>
              <w:t>3:55</w:t>
            </w:r>
          </w:p>
        </w:tc>
        <w:tc>
          <w:tcPr>
            <w:tcW w:type="dxa" w:w="3312"/>
            <w:tcMar>
              <w:top w:w="100" w:type="dxa"/>
              <w:start w:w="120" w:type="dxa"/>
              <w:bottom w:w="100" w:type="dxa"/>
              <w:end w:w="120" w:type="dxa"/>
            </w:tcMar>
            <w:shd w:fill="FFF8E8"/>
            <w:vAlign w:val="top"/>
          </w:tcPr>
          <w:p>
            <w:r>
              <w:t>Close</w:t>
            </w:r>
          </w:p>
        </w:tc>
        <w:tc>
          <w:tcPr>
            <w:tcW w:type="dxa" w:w="3312"/>
            <w:tcMar>
              <w:top w:w="100" w:type="dxa"/>
              <w:start w:w="120" w:type="dxa"/>
              <w:bottom w:w="100" w:type="dxa"/>
              <w:end w:w="120" w:type="dxa"/>
            </w:tcMar>
            <w:shd w:fill="FFF8E8"/>
            <w:vAlign w:val="top"/>
          </w:tcPr>
          <w:p>
            <w:r>
              <w:t>Memory line; next-week bridge; thank co-teachers</w:t>
            </w:r>
          </w:p>
        </w:tc>
      </w:tr>
      <w:tr>
        <w:tc>
          <w:tcPr>
            <w:tcW w:type="dxa" w:w="3312"/>
            <w:tcMar>
              <w:top w:w="100" w:type="dxa"/>
              <w:start w:w="120" w:type="dxa"/>
              <w:bottom w:w="100" w:type="dxa"/>
              <w:end w:w="120" w:type="dxa"/>
            </w:tcMar>
            <w:vAlign w:val="top"/>
          </w:tcPr>
          <w:p>
            <w:r>
              <w:t>4:00</w:t>
            </w:r>
          </w:p>
        </w:tc>
        <w:tc>
          <w:tcPr>
            <w:tcW w:type="dxa" w:w="3312"/>
            <w:tcMar>
              <w:top w:w="100" w:type="dxa"/>
              <w:start w:w="120" w:type="dxa"/>
              <w:bottom w:w="100" w:type="dxa"/>
              <w:end w:w="120" w:type="dxa"/>
            </w:tcMar>
            <w:vAlign w:val="top"/>
          </w:tcPr>
          <w:p>
            <w:r>
              <w:t>End</w:t>
            </w:r>
          </w:p>
        </w:tc>
        <w:tc>
          <w:tcPr>
            <w:tcW w:type="dxa" w:w="3312"/>
            <w:tcMar>
              <w:top w:w="100" w:type="dxa"/>
              <w:start w:w="120" w:type="dxa"/>
              <w:bottom w:w="100" w:type="dxa"/>
              <w:end w:w="120" w:type="dxa"/>
            </w:tcMar>
            <w:vAlign w:val="top"/>
          </w:tcPr>
          <w:p>
            <w:r>
              <w:t>End on time; cleanup; parent handoff phrases ready</w:t>
            </w:r>
          </w:p>
        </w:tc>
      </w:tr>
    </w:tbl>
    <w:p>
      <w:pPr>
        <w:spacing w:after="40"/>
      </w:pPr>
    </w:p>
    <w:p>
      <w:r>
        <w:t>Privacy rules: do not write real conflict details on shared boards. Do not pressure disclosure. If a safeguarding concern arises, follow local temple/CPO routes — do not improvise spiritual diagnoses.</w:t>
      </w:r>
    </w:p>
    <w:p>
      <w:pPr>
        <w:pStyle w:val="KUTUMBAMeta"/>
        <w:jc w:val="center"/>
      </w:pPr>
      <w:r>
        <w:t>◆  ◆  ◆</w:t>
      </w:r>
    </w:p>
    <w:p>
      <w:pPr>
        <w:pStyle w:val="Heading2"/>
      </w:pPr>
      <w:r>
        <w:t>Analogies (≥3) with limits — teach inline</w:t>
      </w:r>
    </w:p>
    <w:p>
      <w:pPr>
        <w:pStyle w:val="Heading3"/>
      </w:pPr>
      <w:r>
        <w:t>1) Seed and fruit</w:t>
      </w:r>
    </w:p>
    <w:p>
      <w:pPr>
        <w:pStyle w:val="ListBullet"/>
      </w:pPr>
      <w:r>
        <w:rPr>
          <w:b/>
        </w:rPr>
        <w:t>Use:</w:t>
      </w:r>
      <w:r>
        <w:t xml:space="preserve"> Choices are like seeds; results ripen later. Helpful for children and for delayed consequences (practice → skill; harsh speech → broken trust).</w:t>
      </w:r>
    </w:p>
    <w:p>
      <w:pPr>
        <w:pStyle w:val="ListBullet"/>
      </w:pPr>
      <w:r>
        <w:rPr>
          <w:b/>
        </w:rPr>
        <w:t>Limit:</w:t>
      </w:r>
      <w:r>
        <w:t xml:space="preserve"> You cannot reverse-engineer another person’s suffering into a confident “past seed” story. Delayed result is not a license for cruelty now.</w:t>
      </w:r>
    </w:p>
    <w:p>
      <w:pPr>
        <w:pStyle w:val="Heading3"/>
      </w:pPr>
      <w:r>
        <w:t>2) Debt ledger</w:t>
      </w:r>
    </w:p>
    <w:p>
      <w:pPr>
        <w:pStyle w:val="ListBullet"/>
      </w:pPr>
      <w:r>
        <w:rPr>
          <w:b/>
        </w:rPr>
        <w:t>Use:</w:t>
      </w:r>
      <w:r>
        <w:t xml:space="preserve"> Actions create obligations in the moral field; unpaid entries do not vanish by forgetting.</w:t>
      </w:r>
    </w:p>
    <w:p>
      <w:pPr>
        <w:pStyle w:val="ListBullet"/>
      </w:pPr>
      <w:r>
        <w:rPr>
          <w:b/>
        </w:rPr>
        <w:t>Limit:</w:t>
      </w:r>
      <w:r>
        <w:t xml:space="preserve"> Kṛṣṇa is not a bank clerk. Mercy, guidance, and bhakti are real. Do not reduce devotion to spreadsheet spirituality.</w:t>
      </w:r>
    </w:p>
    <w:p>
      <w:pPr>
        <w:pStyle w:val="Heading3"/>
      </w:pPr>
      <w:r>
        <w:t>3) Cooking with offering vs cooking without offering</w:t>
      </w:r>
    </w:p>
    <w:p>
      <w:pPr>
        <w:pStyle w:val="ListBullet"/>
      </w:pPr>
      <w:r>
        <w:rPr>
          <w:b/>
        </w:rPr>
        <w:t>Use:</w:t>
      </w:r>
      <w:r>
        <w:t xml:space="preserve"> Same pots, different purpose. BG 3.13 supports distinguishing offered remnants from food prepared only for sense pleasure.</w:t>
      </w:r>
    </w:p>
    <w:p>
      <w:pPr>
        <w:pStyle w:val="ListBullet"/>
      </w:pPr>
      <w:r>
        <w:rPr>
          <w:b/>
        </w:rPr>
        <w:t>Limit:</w:t>
      </w:r>
      <w:r>
        <w:t xml:space="preserve"> Do not shame newcomers’ kitchens. Do not claim that a verbal “Hare Kṛṣṇa” after careless cooking automatically erases negligence. Offering includes intention and care, not slogans alone.</w:t>
      </w:r>
    </w:p>
    <w:p>
      <w:pPr>
        <w:pStyle w:val="KUTUMBAMeta"/>
        <w:jc w:val="center"/>
      </w:pPr>
      <w:r>
        <w:t>◆  ◆  ◆</w:t>
      </w:r>
    </w:p>
    <w:p>
      <w:pPr>
        <w:pStyle w:val="Heading2"/>
      </w:pPr>
      <w:r>
        <w:t>Scriptural / devotional examples (≥2) — paraphrased</w:t>
      </w:r>
    </w:p>
    <w:p>
      <w:pPr>
        <w:pStyle w:val="Heading3"/>
      </w:pPr>
      <w:r>
        <w:t>Example A — Action taxonomy from BG 3.9 and 4.16–18</w:t>
      </w:r>
    </w:p>
    <w:p>
      <w:r>
        <w:t>Kṛṣṇa first establishes that work not done for yajña / Viṣṇu binds (BG 3.9). Then He warns that even the wise are bewildered about action and inaction (BG 4.16), that action, forbidden action, and inaction must be understood (BG 4.17), and that wise vision can see non-binding work within activity and binding reaction within apparent idleness (BG 4.18). Teaching use: stop the false choice between “busy materialism” and “lazy withdrawal.” Teach offered duty. Limitation: do not lecture a full academic karma taxonomy tonight.</w:t>
      </w:r>
    </w:p>
    <w:p>
      <w:pPr>
        <w:pStyle w:val="Heading3"/>
      </w:pPr>
      <w:r>
        <w:t>Example B — King Nṛga (ŚB 10.64)</w:t>
      </w:r>
    </w:p>
    <w:p>
      <w:r>
        <w:t>King Nṛga was celebrated for charity. A cow belonging to one brāhmaṇa entered his herd; unaware, he gave it to another. The quarrel was not resolved. He later experienced a severe reaction and was eventually delivered by the Lord. Teaching use: care, accountability, and unfinished repair matter even when one is generally pious. Limitation: no invented dialogue; restrained adult detail; no fear-based children’s scare story; do not use the chapter to speculate about specific modern neighbors’ past lives.</w:t>
      </w:r>
    </w:p>
    <w:p>
      <w:pPr>
        <w:pStyle w:val="KUTUMBAMeta"/>
        <w:jc w:val="center"/>
      </w:pPr>
      <w:r>
        <w:t>◆  ◆  ◆</w:t>
      </w:r>
    </w:p>
    <w:p>
      <w:pPr>
        <w:pStyle w:val="Heading2"/>
      </w:pPr>
      <w:r>
        <w:t>Three constructed family cases (full)</w:t>
      </w:r>
    </w:p>
    <w:p>
      <w:pPr>
        <w:pStyle w:val="Heading3"/>
      </w:pPr>
      <w:r>
        <w:t>Case 1 — Angry text message</w:t>
      </w:r>
    </w:p>
    <w:p>
      <w:pPr>
        <w:pStyle w:val="ListBullet"/>
      </w:pPr>
      <w:r>
        <w:rPr>
          <w:b/>
        </w:rPr>
        <w:t>Concrete situation:</w:t>
      </w:r>
      <w:r>
        <w:t xml:space="preserve"> After a scheduling conflict, a parent sends a sharp text blaming the spouse in front of a group chat that includes relatives.</w:t>
      </w:r>
    </w:p>
    <w:p>
      <w:pPr>
        <w:pStyle w:val="ListBullet"/>
      </w:pPr>
      <w:r>
        <w:rPr>
          <w:b/>
        </w:rPr>
        <w:t>Mistaken conclusion:</w:t>
      </w:r>
      <w:r>
        <w:t xml:space="preserve"> “It was only a message; karma is about big sins, not texts.”</w:t>
      </w:r>
    </w:p>
    <w:p>
      <w:pPr>
        <w:pStyle w:val="ListBullet"/>
      </w:pPr>
      <w:r>
        <w:rPr>
          <w:b/>
        </w:rPr>
        <w:t>Principle:</w:t>
      </w:r>
      <w:r>
        <w:t xml:space="preserve"> Speech is action. Intention (venting/punishing) and method (public haste) shape consequence (trust damage).</w:t>
      </w:r>
    </w:p>
    <w:p>
      <w:pPr>
        <w:pStyle w:val="ListBullet"/>
      </w:pPr>
      <w:r>
        <w:rPr>
          <w:b/>
        </w:rPr>
        <w:t>Source:</w:t>
      </w:r>
      <w:r>
        <w:t xml:space="preserve"> BG 3.9 — https://vedabase.io/en/library/bg/3/9/ (action binds or frees by purpose); BG 4.17 on carefully understanding action.</w:t>
      </w:r>
    </w:p>
    <w:p>
      <w:pPr>
        <w:pStyle w:val="ListBullet"/>
      </w:pPr>
      <w:r>
        <w:rPr>
          <w:b/>
        </w:rPr>
        <w:t>Compassionate response:</w:t>
      </w:r>
      <w:r>
        <w:t xml:space="preserve"> Pause; move to private channel; apologize for public heat; restate the scheduling need without character attack.</w:t>
      </w:r>
    </w:p>
    <w:p>
      <w:pPr>
        <w:pStyle w:val="ListBullet"/>
      </w:pPr>
      <w:r>
        <w:rPr>
          <w:b/>
        </w:rPr>
        <w:t>Action:</w:t>
      </w:r>
      <w:r>
        <w:t xml:space="preserve"> Before–During–After on the next difficult message: before (purpose: clarity, not victory), during (short, private, kind), after (check if repair is needed).</w:t>
      </w:r>
    </w:p>
    <w:p>
      <w:pPr>
        <w:pStyle w:val="ListBullet"/>
      </w:pPr>
      <w:r>
        <w:rPr>
          <w:b/>
        </w:rPr>
        <w:t>What not to say:</w:t>
      </w:r>
      <w:r>
        <w:t xml:space="preserve"> “Your family conflict proves bad past karma.” “You deserved the blow-up.”</w:t>
      </w:r>
    </w:p>
    <w:p>
      <w:pPr>
        <w:pStyle w:val="ListBullet"/>
      </w:pPr>
      <w:r>
        <w:rPr>
          <w:b/>
        </w:rPr>
        <w:t>Optional age adaptation:</w:t>
      </w:r>
      <w:r>
        <w:t xml:space="preserve"> Younger — “Hot words can plant hard seeds; soft words plant service seeds.” Older — map intention–method–consequence on a worksheet row.</w:t>
      </w:r>
    </w:p>
    <w:p>
      <w:pPr>
        <w:pStyle w:val="Heading3"/>
      </w:pPr>
      <w:r>
        <w:t>Case 2 — Gift for praise</w:t>
      </w:r>
    </w:p>
    <w:p>
      <w:pPr>
        <w:pStyle w:val="ListBullet"/>
      </w:pPr>
      <w:r>
        <w:rPr>
          <w:b/>
        </w:rPr>
        <w:t>Concrete situation:</w:t>
      </w:r>
      <w:r>
        <w:t xml:space="preserve"> A caregiver buys an expensive gift for a temple volunteer role mainly hoping for public thanks and status photos.</w:t>
      </w:r>
    </w:p>
    <w:p>
      <w:pPr>
        <w:pStyle w:val="ListBullet"/>
      </w:pPr>
      <w:r>
        <w:rPr>
          <w:b/>
        </w:rPr>
        <w:t>Mistaken conclusion:</w:t>
      </w:r>
      <w:r>
        <w:t xml:space="preserve"> “Generosity always frees me from bondage.”</w:t>
      </w:r>
    </w:p>
    <w:p>
      <w:pPr>
        <w:pStyle w:val="ListBullet"/>
      </w:pPr>
      <w:r>
        <w:rPr>
          <w:b/>
        </w:rPr>
        <w:t>Principle:</w:t>
      </w:r>
      <w:r>
        <w:t xml:space="preserve"> External charity with selfish attachment can still bind; offering requires detachment for the Lord’s purpose (BG 3.9).</w:t>
      </w:r>
    </w:p>
    <w:p>
      <w:pPr>
        <w:pStyle w:val="ListBullet"/>
      </w:pPr>
      <w:r>
        <w:rPr>
          <w:b/>
        </w:rPr>
        <w:t>Source:</w:t>
      </w:r>
      <w:r>
        <w:t xml:space="preserve"> BG 3.9; BG 3.13 as a parallel on self-centered versus offered consumption/action.</w:t>
      </w:r>
    </w:p>
    <w:p>
      <w:pPr>
        <w:pStyle w:val="ListBullet"/>
      </w:pPr>
      <w:r>
        <w:rPr>
          <w:b/>
        </w:rPr>
        <w:t>Compassionate response:</w:t>
      </w:r>
      <w:r>
        <w:t xml:space="preserve"> Affirm the desire to give; gently separate love of giving from hunger for applause.</w:t>
      </w:r>
    </w:p>
    <w:p>
      <w:pPr>
        <w:pStyle w:val="ListBullet"/>
      </w:pPr>
      <w:r>
        <w:rPr>
          <w:b/>
        </w:rPr>
        <w:t>Action:</w:t>
      </w:r>
      <w:r>
        <w:t xml:space="preserve"> Give one smaller anonymous help this week; practice gratitude without announcement.</w:t>
      </w:r>
    </w:p>
    <w:p>
      <w:pPr>
        <w:pStyle w:val="ListBullet"/>
      </w:pPr>
      <w:r>
        <w:rPr>
          <w:b/>
        </w:rPr>
        <w:t>What not to say:</w:t>
      </w:r>
      <w:r>
        <w:t xml:space="preserve"> “You’re fake.” “People who want thanks are demons.”</w:t>
      </w:r>
    </w:p>
    <w:p>
      <w:pPr>
        <w:pStyle w:val="ListBullet"/>
      </w:pPr>
      <w:r>
        <w:rPr>
          <w:b/>
        </w:rPr>
        <w:t>Optional age adaptation:</w:t>
      </w:r>
      <w:r>
        <w:t xml:space="preserve"> Younger — draw “give and smile” vs “give and wait for clap.” Older — rewrite the gift scenario with offered intention.</w:t>
      </w:r>
    </w:p>
    <w:p>
      <w:pPr>
        <w:pStyle w:val="Heading3"/>
      </w:pPr>
      <w:r>
        <w:t>Case 3 — Careful repair without demanding thanks</w:t>
      </w:r>
    </w:p>
    <w:p>
      <w:pPr>
        <w:pStyle w:val="ListBullet"/>
      </w:pPr>
      <w:r>
        <w:rPr>
          <w:b/>
        </w:rPr>
        <w:t>Concrete situation:</w:t>
      </w:r>
      <w:r>
        <w:t xml:space="preserve"> A parent stays up late fixing a child’s broken science project so the child can present it calmly next day. The child says little. The parent feels unseen and starts a guilt lecture.</w:t>
      </w:r>
    </w:p>
    <w:p>
      <w:pPr>
        <w:pStyle w:val="ListBullet"/>
      </w:pPr>
      <w:r>
        <w:rPr>
          <w:b/>
        </w:rPr>
        <w:t>Mistaken conclusion:</w:t>
      </w:r>
      <w:r>
        <w:t xml:space="preserve"> “If I am not thanked, my service failed — so I should quit helping.”</w:t>
      </w:r>
    </w:p>
    <w:p>
      <w:pPr>
        <w:pStyle w:val="ListBullet"/>
      </w:pPr>
      <w:r>
        <w:rPr>
          <w:b/>
        </w:rPr>
        <w:t>Principle:</w:t>
      </w:r>
      <w:r>
        <w:t xml:space="preserve"> Work done for the Lord’s purpose can be performed without selfish attachment; recognition is not the proof of purity.</w:t>
      </w:r>
    </w:p>
    <w:p>
      <w:pPr>
        <w:pStyle w:val="ListBullet"/>
      </w:pPr>
      <w:r>
        <w:rPr>
          <w:b/>
        </w:rPr>
        <w:t>Source:</w:t>
      </w:r>
      <w:r>
        <w:t xml:space="preserve"> BG 3.9 teaching meaning on detachment for His purpose; BG 4.18 on seeing non-binding quality within work.</w:t>
      </w:r>
    </w:p>
    <w:p>
      <w:pPr>
        <w:pStyle w:val="ListBullet"/>
      </w:pPr>
      <w:r>
        <w:rPr>
          <w:b/>
        </w:rPr>
        <w:t>Compassionate response:</w:t>
      </w:r>
      <w:r>
        <w:t xml:space="preserve"> Name the tiredness honestly in private; affirm the child; release the demand for applause; offer the effort to Kṛṣṇa.</w:t>
      </w:r>
    </w:p>
    <w:p>
      <w:pPr>
        <w:pStyle w:val="ListBullet"/>
      </w:pPr>
      <w:r>
        <w:rPr>
          <w:b/>
        </w:rPr>
        <w:t>Action:</w:t>
      </w:r>
      <w:r>
        <w:t xml:space="preserve"> One repair act this week with a silent before-prayer: “For Your pleasure; I will not demand payment in praise.”</w:t>
      </w:r>
    </w:p>
    <w:p>
      <w:pPr>
        <w:pStyle w:val="ListBullet"/>
      </w:pPr>
      <w:r>
        <w:rPr>
          <w:b/>
        </w:rPr>
        <w:t>What not to say:</w:t>
      </w:r>
      <w:r>
        <w:t xml:space="preserve"> “After all I do for you…” as spiritual teaching. “Ungrateful children create bad karma for themselves” as a threat.</w:t>
      </w:r>
    </w:p>
    <w:p>
      <w:pPr>
        <w:pStyle w:val="ListBullet"/>
      </w:pPr>
      <w:r>
        <w:rPr>
          <w:b/>
        </w:rPr>
        <w:t>Optional age adaptation:</w:t>
      </w:r>
      <w:r>
        <w:t xml:space="preserve"> Younger — role-play helping a toy without asking for a clap. Older — journal one duty done as offering.</w:t>
      </w:r>
    </w:p>
    <w:p>
      <w:pPr>
        <w:pStyle w:val="KUTUMBAMeta"/>
        <w:jc w:val="center"/>
      </w:pPr>
      <w:r>
        <w:t>◆  ◆  ◆</w:t>
      </w:r>
    </w:p>
    <w:p>
      <w:pPr>
        <w:pStyle w:val="Heading2"/>
      </w:pPr>
      <w:r>
        <w:t>Question banks</w:t>
      </w:r>
    </w:p>
    <w:p>
      <w:pPr>
        <w:pStyle w:val="Heading3"/>
      </w:pPr>
      <w:r>
        <w:t>Discovery (3)</w:t>
      </w:r>
    </w:p>
    <w:p>
      <w:pPr>
        <w:pStyle w:val="ListNumber"/>
      </w:pPr>
      <w:r>
        <w:t>What kind of work does BG 3.9 say causes bondage?</w:t>
      </w:r>
    </w:p>
    <w:p>
      <w:pPr>
        <w:pStyle w:val="ListNumber"/>
      </w:pPr>
      <w:r>
        <w:t>Besides the visible act, what elements shape the quality of an action?</w:t>
      </w:r>
    </w:p>
    <w:p>
      <w:pPr>
        <w:pStyle w:val="ListNumber"/>
      </w:pPr>
      <w:r>
        <w:t>What did King Nṛga’s situation show about care and accountability?</w:t>
      </w:r>
    </w:p>
    <w:p>
      <w:pPr>
        <w:pStyle w:val="Heading3"/>
      </w:pPr>
      <w:r>
        <w:t>Understanding (3)</w:t>
      </w:r>
    </w:p>
    <w:p>
      <w:pPr>
        <w:pStyle w:val="ListNumber"/>
      </w:pPr>
      <w:r>
        <w:t>Why is karma in this lesson not identical to fatalism?</w:t>
      </w:r>
    </w:p>
    <w:p>
      <w:pPr>
        <w:pStyle w:val="ListNumber"/>
      </w:pPr>
      <w:r>
        <w:t>Why must we refuse to diagnose another person’s suffering as a specific past karma?</w:t>
      </w:r>
    </w:p>
    <w:p>
      <w:pPr>
        <w:pStyle w:val="ListNumber"/>
      </w:pPr>
      <w:r>
        <w:t>How does offering work to Kṛṣṇa differ from saying “for Kṛṣṇa” after careless action?</w:t>
      </w:r>
    </w:p>
    <w:p>
      <w:pPr>
        <w:pStyle w:val="Heading3"/>
      </w:pPr>
      <w:r>
        <w:t>Application (3)</w:t>
      </w:r>
    </w:p>
    <w:p>
      <w:pPr>
        <w:pStyle w:val="ListNumber"/>
      </w:pPr>
      <w:r>
        <w:t>Which routine family action is most often driven by recognition, anger, or haste?</w:t>
      </w:r>
    </w:p>
    <w:p>
      <w:pPr>
        <w:pStyle w:val="ListNumber"/>
      </w:pPr>
      <w:r>
        <w:t>Who may be affected by that action besides the actor?</w:t>
      </w:r>
    </w:p>
    <w:p>
      <w:pPr>
        <w:pStyle w:val="ListNumber"/>
      </w:pPr>
      <w:r>
        <w:t>What specific change in intention or method will you try this week using before–during–after?</w:t>
      </w:r>
    </w:p>
    <w:p>
      <w:pPr>
        <w:pStyle w:val="KUTUMBAMeta"/>
        <w:jc w:val="center"/>
      </w:pPr>
      <w:r>
        <w:t>◆  ◆  ◆</w:t>
      </w:r>
    </w:p>
    <w:p>
      <w:pPr>
        <w:pStyle w:val="Heading2"/>
      </w:pPr>
      <w:r>
        <w:t>Five likely questions with source-based answers</w:t>
      </w:r>
    </w:p>
    <w:p>
      <w:pPr>
        <w:pStyle w:val="ListNumber"/>
      </w:pPr>
      <w:r>
        <w:rPr>
          <w:b/>
        </w:rPr>
        <w:t>“If everything is karma, why try?”</w:t>
      </w:r>
    </w:p>
    <w:p>
      <w:r>
        <w:t>Answer: BG 3.9 commands action for the Lord’s purpose with detachment. Fatalism that removes responsibility is out of scope and blocked. Next week develops choice with BG 18.63; tonight already rejects “no need to try.”</w:t>
      </w:r>
    </w:p>
    <w:p>
      <w:pPr>
        <w:pStyle w:val="ListNumber"/>
      </w:pPr>
      <w:r>
        <w:rPr>
          <w:b/>
        </w:rPr>
        <w:t>“Is karma the same as punishment from God?”</w:t>
      </w:r>
    </w:p>
    <w:p>
      <w:r>
        <w:t>Answer: In this lesson karma means action and reaction under material nature. The teaching meaning of BG 3.9 centers bondage versus offered work — not a caricature of divine revenge. Defer elaborate theodicy; stay with the verse.</w:t>
      </w:r>
    </w:p>
    <w:p>
      <w:pPr>
        <w:pStyle w:val="ListNumber"/>
      </w:pPr>
      <w:r>
        <w:rPr>
          <w:b/>
        </w:rPr>
        <w:t>“Can we tell why someone is sick or poor?”</w:t>
      </w:r>
    </w:p>
    <w:p>
      <w:r>
        <w:t>Answer: No. We never diagnose illness, disability, abuse, disaster, or poverty as a specific past action. That is a hard no-speculation boundary for KUTUMBA.</w:t>
      </w:r>
    </w:p>
    <w:p>
      <w:pPr>
        <w:pStyle w:val="ListNumber"/>
      </w:pPr>
      <w:r>
        <w:rPr>
          <w:b/>
        </w:rPr>
        <w:t>“Does science prove karma?”</w:t>
      </w:r>
    </w:p>
    <w:p>
      <w:r>
        <w:t>Answer: Option B for this week: no empirical claim is needed for the doctrinal conclusion of BG 3.9. Habit literature may help design practice routines only at the habit level; it does not prove śāstra.</w:t>
      </w:r>
    </w:p>
    <w:p>
      <w:pPr>
        <w:pStyle w:val="ListNumber"/>
      </w:pPr>
      <w:r>
        <w:rPr>
          <w:b/>
        </w:rPr>
        <w:t>“Should I stop working so I create no karma?”</w:t>
      </w:r>
    </w:p>
    <w:p>
      <w:r>
        <w:t>Answer: BG 4.16–18 warn that action and inaction are easily misunderstood. Apparent idleness can still bind; offered work can be freer. Teach purified duty, not abandonment of responsibility.</w:t>
      </w:r>
    </w:p>
    <w:p>
      <w:pPr>
        <w:pStyle w:val="KUTUMBAMeta"/>
        <w:jc w:val="center"/>
      </w:pPr>
      <w:r>
        <w:t>◆  ◆  ◆</w:t>
      </w:r>
    </w:p>
    <w:p>
      <w:pPr>
        <w:pStyle w:val="Heading2"/>
      </w:pPr>
      <w:r>
        <w:t>Misconceptions and no-speculation boundaries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Teach</w:t>
            </w:r>
          </w:p>
        </w:tc>
        <w:tc>
          <w:tcPr>
            <w:tcW w:type="dxa" w:w="4968"/>
            <w:shd w:fill="5B1933"/>
            <w:tcMar>
              <w:top w:w="100" w:type="dxa"/>
              <w:start w:w="120" w:type="dxa"/>
              <w:bottom w:w="100" w:type="dxa"/>
              <w:end w:w="120" w:type="dxa"/>
            </w:tcMar>
          </w:tcPr>
          <w:p>
            <w:r>
              <w:rPr>
                <w:b/>
                <w:color w:val="FFFFFF"/>
              </w:rPr>
              <w:t>Do not teach</w:t>
            </w:r>
          </w:p>
        </w:tc>
      </w:tr>
      <w:tr>
        <w:tc>
          <w:tcPr>
            <w:tcW w:type="dxa" w:w="4968"/>
            <w:tcMar>
              <w:top w:w="100" w:type="dxa"/>
              <w:start w:w="120" w:type="dxa"/>
              <w:bottom w:w="100" w:type="dxa"/>
              <w:end w:w="120" w:type="dxa"/>
            </w:tcMar>
            <w:vAlign w:val="top"/>
          </w:tcPr>
          <w:p>
            <w:r>
              <w:t>Karma as action/reaction under material nature</w:t>
            </w:r>
          </w:p>
        </w:tc>
        <w:tc>
          <w:tcPr>
            <w:tcW w:type="dxa" w:w="4968"/>
            <w:tcMar>
              <w:top w:w="100" w:type="dxa"/>
              <w:start w:w="120" w:type="dxa"/>
              <w:bottom w:w="100" w:type="dxa"/>
              <w:end w:w="120" w:type="dxa"/>
            </w:tcMar>
            <w:vAlign w:val="top"/>
          </w:tcPr>
          <w:p>
            <w:r>
              <w:t>Karma as fate that cancels responsibility</w:t>
            </w:r>
          </w:p>
        </w:tc>
      </w:tr>
      <w:tr>
        <w:tc>
          <w:tcPr>
            <w:tcW w:type="dxa" w:w="4968"/>
            <w:tcMar>
              <w:top w:w="100" w:type="dxa"/>
              <w:start w:w="120" w:type="dxa"/>
              <w:bottom w:w="100" w:type="dxa"/>
              <w:end w:w="120" w:type="dxa"/>
            </w:tcMar>
            <w:shd w:fill="FFF8E8"/>
            <w:vAlign w:val="top"/>
          </w:tcPr>
          <w:p>
            <w:r>
              <w:t>Offered work can be purified</w:t>
            </w:r>
          </w:p>
        </w:tc>
        <w:tc>
          <w:tcPr>
            <w:tcW w:type="dxa" w:w="4968"/>
            <w:tcMar>
              <w:top w:w="100" w:type="dxa"/>
              <w:start w:w="120" w:type="dxa"/>
              <w:bottom w:w="100" w:type="dxa"/>
              <w:end w:w="120" w:type="dxa"/>
            </w:tcMar>
            <w:shd w:fill="FFF8E8"/>
            <w:vAlign w:val="top"/>
          </w:tcPr>
          <w:p>
            <w:r>
              <w:t>“For Kṛṣṇa” slogans wash careless harm automatically</w:t>
            </w:r>
          </w:p>
        </w:tc>
      </w:tr>
      <w:tr>
        <w:tc>
          <w:tcPr>
            <w:tcW w:type="dxa" w:w="4968"/>
            <w:tcMar>
              <w:top w:w="100" w:type="dxa"/>
              <w:start w:w="120" w:type="dxa"/>
              <w:bottom w:w="100" w:type="dxa"/>
              <w:end w:w="120" w:type="dxa"/>
            </w:tcMar>
            <w:vAlign w:val="top"/>
          </w:tcPr>
          <w:p>
            <w:r>
              <w:t>Intention, method, and consequence matter together</w:t>
            </w:r>
          </w:p>
        </w:tc>
        <w:tc>
          <w:tcPr>
            <w:tcW w:type="dxa" w:w="4968"/>
            <w:tcMar>
              <w:top w:w="100" w:type="dxa"/>
              <w:start w:w="120" w:type="dxa"/>
              <w:bottom w:w="100" w:type="dxa"/>
              <w:end w:w="120" w:type="dxa"/>
            </w:tcMar>
            <w:vAlign w:val="top"/>
          </w:tcPr>
          <w:p>
            <w:r>
              <w:t>Good intention excuses dishonest method</w:t>
            </w:r>
          </w:p>
        </w:tc>
      </w:tr>
      <w:tr>
        <w:tc>
          <w:tcPr>
            <w:tcW w:type="dxa" w:w="4968"/>
            <w:tcMar>
              <w:top w:w="100" w:type="dxa"/>
              <w:start w:w="120" w:type="dxa"/>
              <w:bottom w:w="100" w:type="dxa"/>
              <w:end w:w="120" w:type="dxa"/>
            </w:tcMar>
            <w:shd w:fill="FFF8E8"/>
            <w:vAlign w:val="top"/>
          </w:tcPr>
          <w:p>
            <w:r>
              <w:t>Compassion and repair</w:t>
            </w:r>
          </w:p>
        </w:tc>
        <w:tc>
          <w:tcPr>
            <w:tcW w:type="dxa" w:w="4968"/>
            <w:tcMar>
              <w:top w:w="100" w:type="dxa"/>
              <w:start w:w="120" w:type="dxa"/>
              <w:bottom w:w="100" w:type="dxa"/>
              <w:end w:w="120" w:type="dxa"/>
            </w:tcMar>
            <w:shd w:fill="FFF8E8"/>
            <w:vAlign w:val="top"/>
          </w:tcPr>
          <w:p>
            <w:r>
              <w:t>Victim-blaming and past-life diagnoses</w:t>
            </w:r>
          </w:p>
        </w:tc>
      </w:tr>
      <w:tr>
        <w:tc>
          <w:tcPr>
            <w:tcW w:type="dxa" w:w="4968"/>
            <w:tcMar>
              <w:top w:w="100" w:type="dxa"/>
              <w:start w:w="120" w:type="dxa"/>
              <w:bottom w:w="100" w:type="dxa"/>
              <w:end w:w="120" w:type="dxa"/>
            </w:tcMar>
            <w:vAlign w:val="top"/>
          </w:tcPr>
          <w:p>
            <w:r>
              <w:t>Age-appropriate King Nṛga care lesson</w:t>
            </w:r>
          </w:p>
        </w:tc>
        <w:tc>
          <w:tcPr>
            <w:tcW w:type="dxa" w:w="4968"/>
            <w:tcMar>
              <w:top w:w="100" w:type="dxa"/>
              <w:start w:w="120" w:type="dxa"/>
              <w:bottom w:w="100" w:type="dxa"/>
              <w:end w:w="120" w:type="dxa"/>
            </w:tcMar>
            <w:vAlign w:val="top"/>
          </w:tcPr>
          <w:p>
            <w:r>
              <w:t>Fear pedagogy and invented dialogue</w:t>
            </w:r>
          </w:p>
        </w:tc>
      </w:tr>
    </w:tbl>
    <w:p>
      <w:pPr>
        <w:spacing w:after="40"/>
      </w:pPr>
    </w:p>
    <w:p>
      <w:r>
        <w:rPr>
          <w:b/>
        </w:rPr>
        <w:t>Never:</w:t>
      </w:r>
      <w:r>
        <w:t xml:space="preserve"> diagnose illness/poverty as specific past karma; force public confession; rank families; claim science proved the soul or karma metaphysics; claim this packet is temple-approved or publication-ready.</w:t>
      </w:r>
    </w:p>
    <w:p>
      <w:pPr>
        <w:pStyle w:val="KUTUMBAMeta"/>
        <w:jc w:val="center"/>
      </w:pPr>
      <w:r>
        <w:t>◆  ◆  ◆</w:t>
      </w:r>
    </w:p>
    <w:p>
      <w:pPr>
        <w:pStyle w:val="Heading2"/>
      </w:pPr>
      <w:r>
        <w:t>Track transitions (2:30–3:10)</w:t>
      </w:r>
    </w:p>
    <w:p>
      <w:r>
        <w:rPr>
          <w:b/>
        </w:rPr>
        <w:t>Parent track (facilitator or parent lead):</w:t>
      </w:r>
      <w:r>
        <w:t xml:space="preserve"> Re-read BG 3.9 teaching meaning. Run Cases 1–3 in triads (8 minutes). Teach Bhakti Lab Before–During–After on a sample duty: setting shoes, arranging books, or preparing the snack table (12 minutes). Each adult writes one home duty plan (8 minutes). Close with misconception check (2 minutes).</w:t>
      </w:r>
    </w:p>
    <w:p>
      <w:r>
        <w:rPr>
          <w:b/>
        </w:rPr>
        <w:t>Younger track (K–2):</w:t>
      </w:r>
      <w:r>
        <w:t xml:space="preserve"> Follow </w:t>
      </w:r>
      <w:r>
        <w:rPr>
          <w:rFonts w:ascii="Consolas" w:hAnsi="Consolas"/>
          <w:color w:val="7A263A"/>
          <w:sz w:val="18"/>
        </w:rPr>
        <w:t>teacher/YOUNGER-TEACHER-GUIDE.md</w:t>
      </w:r>
      <w:r>
        <w:t xml:space="preserve"> fully: story script, wonder questions, Seed Steps movement game, Service Seed craft with steps, printable coloring, memory phrase echo. Do not send teachers away with only a pointer.</w:t>
      </w:r>
    </w:p>
    <w:p>
      <w:r>
        <w:rPr>
          <w:b/>
        </w:rPr>
        <w:t>Older track (Grades 4–5):</w:t>
      </w:r>
      <w:r>
        <w:t xml:space="preserve"> Follow </w:t>
      </w:r>
      <w:r>
        <w:rPr>
          <w:rFonts w:ascii="Consolas" w:hAnsi="Consolas"/>
          <w:color w:val="7A263A"/>
          <w:sz w:val="18"/>
        </w:rPr>
        <w:t>teacher/OLDER-TEACHER-GUIDE.md</w:t>
      </w:r>
      <w:r>
        <w:t xml:space="preserve">: BG 3.9 observation, worksheet questions, scenario cards, action-chain / seed-fruit match, intention–method–consequence diagram, project contribution line, reflection. Answer key: </w:t>
      </w:r>
      <w:r>
        <w:rPr>
          <w:rFonts w:ascii="Consolas" w:hAnsi="Consolas"/>
          <w:color w:val="7A263A"/>
          <w:sz w:val="18"/>
        </w:rPr>
        <w:t>activities/OLDER-ANSWER-KEY.md</w:t>
      </w:r>
      <w:r>
        <w:t>.</w:t>
      </w:r>
    </w:p>
    <w:p>
      <w:r>
        <w:t>Transition language at 2:28: “Parents remain in this circle. Younger friends go with [name] to the seed table. Older students go with [name] to the observation table. We reunite at 3:10.”</w:t>
      </w:r>
    </w:p>
    <w:p>
      <w:pPr>
        <w:pStyle w:val="KUTUMBAMeta"/>
        <w:jc w:val="center"/>
      </w:pPr>
      <w:r>
        <w:t>◆  ◆  ◆</w:t>
      </w:r>
    </w:p>
    <w:p>
      <w:pPr>
        <w:pStyle w:val="Heading2"/>
      </w:pPr>
      <w:r>
        <w:t>Family synthesis (3:10)</w:t>
      </w:r>
    </w:p>
    <w:p>
      <w:r>
        <w:t xml:space="preserve">Invite each family to share </w:t>
      </w:r>
      <w:r>
        <w:rPr>
          <w:b/>
        </w:rPr>
        <w:t>one sentence only</w:t>
      </w:r>
      <w:r>
        <w:t>: “This week we will offer ______ by before ______, during ______, after ______.”</w:t>
      </w:r>
    </w:p>
    <w:p>
      <w:r>
        <w:t>Affirm courage. Do not critique theology in public. If a family shares a speculative karma diagnosis, gently redirect: “Tonight we practice our own next duty; we don’t diagnose others.”</w:t>
      </w:r>
    </w:p>
    <w:p>
      <w:pPr>
        <w:pStyle w:val="KUTUMBAMeta"/>
        <w:jc w:val="center"/>
      </w:pPr>
      <w:r>
        <w:t>◆  ◆  ◆</w:t>
      </w:r>
    </w:p>
    <w:p>
      <w:pPr>
        <w:pStyle w:val="Heading2"/>
      </w:pPr>
      <w:r>
        <w:t>Project contribution</w:t>
      </w:r>
    </w:p>
    <w:p>
      <w:r>
        <w:t>Cycle contribution layer for C2-W1 (</w:t>
      </w:r>
      <w:r>
        <w:rPr>
          <w:rFonts w:ascii="Consolas" w:hAnsi="Consolas"/>
          <w:color w:val="7A263A"/>
          <w:sz w:val="18"/>
        </w:rPr>
        <w:t>project/CYCLE-CONTRIBUTION.md</w:t>
      </w:r>
      <w:r>
        <w:t>): one family artifact answering “How do our actions bind or free us?” Keep optional burden ≤20 minutes. Example artifact: a one-page before–during–after card for a household duty, or a child seed-fruit drawing paired with an adult intention note. No ranking. Distinguish paraphrase from analogy on the artifact if words are used.</w:t>
      </w:r>
    </w:p>
    <w:p>
      <w:pPr>
        <w:pStyle w:val="KUTUMBAMeta"/>
        <w:jc w:val="center"/>
      </w:pPr>
      <w:r>
        <w:t>◆  ◆  ◆</w:t>
      </w:r>
    </w:p>
    <w:p>
      <w:pPr>
        <w:pStyle w:val="Heading2"/>
      </w:pPr>
      <w:r>
        <w:t>Home practice</w:t>
      </w:r>
    </w:p>
    <w:p>
      <w:pPr>
        <w:pStyle w:val="ListBullet"/>
      </w:pPr>
      <w:r>
        <w:rPr>
          <w:b/>
        </w:rPr>
        <w:t>Minimum:</w:t>
      </w:r>
      <w:r>
        <w:t xml:space="preserve"> Use before–during–after once on a routine duty.</w:t>
      </w:r>
    </w:p>
    <w:p>
      <w:pPr>
        <w:pStyle w:val="ListBullet"/>
      </w:pPr>
      <w:r>
        <w:rPr>
          <w:b/>
        </w:rPr>
        <w:t>Standard:</w:t>
      </w:r>
      <w:r>
        <w:t xml:space="preserve"> Use it three times; note one reaction prevented by greater care.</w:t>
      </w:r>
    </w:p>
    <w:p>
      <w:pPr>
        <w:pStyle w:val="ListBullet"/>
      </w:pPr>
      <w:r>
        <w:rPr>
          <w:b/>
        </w:rPr>
        <w:t>Stretch:</w:t>
      </w:r>
      <w:r>
        <w:t xml:space="preserve"> Repair one small unresolved consequence (apologize, return, replace, clarify, or complete).</w:t>
      </w:r>
    </w:p>
    <w:p>
      <w:pPr>
        <w:pStyle w:val="ListBullet"/>
      </w:pPr>
      <w:r>
        <w:rPr>
          <w:b/>
        </w:rPr>
        <w:t>Evidence:</w:t>
      </w:r>
      <w:r>
        <w:t xml:space="preserve"> Private action card only — no sensitive conflict disclosure in the group.</w:t>
      </w:r>
    </w:p>
    <w:p>
      <w:r>
        <w:t xml:space="preserve">Adult memory line: </w:t>
      </w:r>
      <w:r>
        <w:rPr>
          <w:i/>
        </w:rPr>
        <w:t>Work done only for separate material interest causes bondage; work done for Viṣṇu should be performed without selfish attachment.</w:t>
      </w:r>
    </w:p>
    <w:p>
      <w:pPr>
        <w:pStyle w:val="KUTUMBAMeta"/>
        <w:jc w:val="center"/>
      </w:pPr>
      <w:r>
        <w:t>◆  ◆  ◆</w:t>
      </w:r>
    </w:p>
    <w:p>
      <w:pPr>
        <w:pStyle w:val="Heading2"/>
      </w:pPr>
      <w:r>
        <w:t>Next week bridge</w:t>
      </w:r>
    </w:p>
    <w:p>
      <w:r>
        <w:t>C2-W2 — Free Will and Responsibility: The Next Choice Matters. Primary: BG 18.63 (https://vedabase.io/en/library/bg/18/63/). Preview only: after hearing, we deliberate and act — responsibility remains. Do not teach the full free-will lesson tonight.</w:t>
      </w:r>
    </w:p>
    <w:p>
      <w:pPr>
        <w:pStyle w:val="KUTUMBAMeta"/>
        <w:jc w:val="center"/>
      </w:pPr>
      <w:r>
        <w:t>◆  ◆  ◆</w:t>
      </w:r>
    </w:p>
    <w:p>
      <w:pPr>
        <w:pStyle w:val="Heading2"/>
      </w:pPr>
      <w:r>
        <w:t>Materials checklist</w:t>
      </w:r>
    </w:p>
    <w:p>
      <w:pPr>
        <w:pStyle w:val="ListBullet"/>
      </w:pPr>
      <w:r>
        <w:t>Printed verse cards (BG 3.9 Devanāgarī / IAST / teaching meaning)</w:t>
      </w:r>
    </w:p>
    <w:p>
      <w:pPr>
        <w:pStyle w:val="ListBullet"/>
      </w:pPr>
      <w:r>
        <w:t>Case cards 1–3 (anonymous)</w:t>
      </w:r>
    </w:p>
    <w:p>
      <w:pPr>
        <w:pStyle w:val="ListBullet"/>
      </w:pPr>
      <w:r>
        <w:t>Before–During–After home cards</w:t>
      </w:r>
    </w:p>
    <w:p>
      <w:pPr>
        <w:pStyle w:val="ListBullet"/>
      </w:pPr>
      <w:r>
        <w:t>Younger: seed picture cards, crayons, phrase cards, soft object</w:t>
      </w:r>
    </w:p>
    <w:p>
      <w:pPr>
        <w:pStyle w:val="ListBullet"/>
      </w:pPr>
      <w:r>
        <w:t>Older: observation sheets, match cards, diagram sheets, pencils</w:t>
      </w:r>
    </w:p>
    <w:p>
      <w:pPr>
        <w:pStyle w:val="ListBullet"/>
      </w:pPr>
      <w:r>
        <w:t>Snack/water supplies; cleaning wipes</w:t>
      </w:r>
    </w:p>
    <w:p>
      <w:pPr>
        <w:pStyle w:val="ListBullet"/>
      </w:pPr>
      <w:r>
        <w:t>Devices with VedaBase URLs bookmarked offline if possible</w:t>
      </w:r>
    </w:p>
    <w:p>
      <w:pPr>
        <w:pStyle w:val="KUTUMBAMeta"/>
        <w:jc w:val="center"/>
      </w:pPr>
      <w:r>
        <w:t>◆  ◆  ◆</w:t>
      </w:r>
    </w:p>
    <w:p>
      <w:pPr>
        <w:pStyle w:val="Heading2"/>
      </w:pPr>
      <w:r>
        <w:t>Closing integrity statement</w:t>
      </w:r>
    </w:p>
    <w:p>
      <w:r>
        <w:t xml:space="preserve">This packet preserves </w:t>
      </w:r>
      <w:r>
        <w:rPr>
          <w:b/>
        </w:rPr>
        <w:t>no fabricated human approval</w:t>
      </w:r>
      <w:r>
        <w:t>. Status remains INTERNAL founding-cohort material with human/temple review EXTERNAL_OPEN. Gamma decks, if used, remain prompt-only until separately rendered and reviewed.</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C2-W1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