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C2-W3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Primary cue this week:</w:t>
      </w:r>
      <w:r>
        <w:t xml:space="preserve"> one-minute bedtime remembrance on </w:t>
      </w:r>
      <w:r>
        <w:rPr>
          <w:b/>
        </w:rPr>
        <w:t>three nights</w:t>
      </w:r>
      <w:r>
        <w:t>.</w:t>
      </w:r>
    </w:p>
    <w:p>
      <w:pPr>
        <w:pStyle w:val="Heading2"/>
      </w:pPr>
      <w:r>
        <w:t>Full version (5–15 minutes when energy allows)</w:t>
      </w:r>
    </w:p>
    <w:p>
      <w:pPr>
        <w:pStyle w:val="ListNumber"/>
      </w:pPr>
      <w:r>
        <w:t xml:space="preserve">Say the memory line once: </w:t>
      </w:r>
      <w:r>
        <w:rPr>
          <w:i/>
        </w:rPr>
        <w:t>Birth and death are changes of dress for the eternal self.</w:t>
      </w:r>
    </w:p>
    <w:p>
      <w:pPr>
        <w:pStyle w:val="ListNumber"/>
      </w:pPr>
      <w:r>
        <w:t>Paraphrase BG 2.22 in one calm family sentence (https://vedabase.io/en/library/bg/2/22/).</w:t>
      </w:r>
    </w:p>
    <w:p>
      <w:pPr>
        <w:pStyle w:val="ListNumber"/>
      </w:pPr>
      <w:r>
        <w:t>Do the Bedtime Remembrance Routine:</w:t>
      </w:r>
    </w:p>
    <w:p>
      <w:pPr>
        <w:pStyle w:val="ListBullet2"/>
      </w:pPr>
      <w:r>
        <w:t>Cue (teeth brushing / device charging / entering bedroom)</w:t>
      </w:r>
    </w:p>
    <w:p>
      <w:pPr>
        <w:pStyle w:val="ListBullet2"/>
      </w:pPr>
      <w:r>
        <w:t>One slow mahā-mantra or short approved hearing</w:t>
      </w:r>
    </w:p>
    <w:p>
      <w:pPr>
        <w:pStyle w:val="ListBullet2"/>
      </w:pPr>
      <w:r>
        <w:t>One gratitude + one request for remembrance</w:t>
      </w:r>
    </w:p>
    <w:p>
      <w:pPr>
        <w:pStyle w:val="ListNumber"/>
      </w:pPr>
      <w:r>
        <w:t>End without lecture or fear talk.</w:t>
      </w:r>
    </w:p>
    <w:p>
      <w:pPr>
        <w:pStyle w:val="Heading2"/>
      </w:pPr>
      <w:r>
        <w:t>Minimum version (hard nights / grief)</w:t>
      </w:r>
    </w:p>
    <w:p>
      <w:r>
        <w:t>One mahā-mantra + one gratitude. Still counts toward the three nights.</w:t>
      </w:r>
    </w:p>
    <w:p>
      <w:pPr>
        <w:pStyle w:val="Heading2"/>
      </w:pPr>
      <w:r>
        <w:t>Boundaries</w:t>
      </w:r>
    </w:p>
    <w:p>
      <w:pPr>
        <w:pStyle w:val="ListBullet"/>
      </w:pPr>
      <w:r>
        <w:t>No scare stories before sleep.</w:t>
      </w:r>
    </w:p>
    <w:p>
      <w:pPr>
        <w:pStyle w:val="ListBullet"/>
      </w:pPr>
      <w:r>
        <w:t>No diagnosing deceased destinations.</w:t>
      </w:r>
    </w:p>
    <w:p>
      <w:pPr>
        <w:pStyle w:val="ListBullet"/>
      </w:pPr>
      <w:r>
        <w:t>No ghost entertainment.</w:t>
      </w:r>
    </w:p>
    <w:p>
      <w:pPr>
        <w:pStyle w:val="ListBullet"/>
      </w:pPr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C2-W3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