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Track window:</w:t>
      </w:r>
      <w:r>
        <w:t xml:space="preserve"> approx. 2:30–3:10 (40 minutes).</w:t>
      </w:r>
    </w:p>
    <w:p>
      <w:pPr>
        <w:pStyle w:val="Heading2"/>
      </w:pPr>
      <w:r>
        <w:t>Objective</w:t>
      </w:r>
    </w:p>
    <w:p>
      <w:r>
        <w:t xml:space="preserve">Students explain </w:t>
      </w:r>
      <w:r>
        <w:rPr>
          <w:b/>
        </w:rPr>
        <w:t>Birth and death are changes of dress for the eternal self — teach without fear</w:t>
      </w:r>
      <w:r>
        <w:t xml:space="preserve"> using BG 2.22, and reject fatalism that “nothing matters if we reincarnate.”</w:t>
      </w:r>
    </w:p>
    <w:p>
      <w:pPr>
        <w:pStyle w:val="Heading2"/>
      </w:pPr>
      <w:r>
        <w:t>Essential question</w:t>
      </w:r>
    </w:p>
    <w:p>
      <w:r>
        <w:t>How do we speak calmly about birth and death?</w:t>
      </w:r>
    </w:p>
    <w:p>
      <w:pPr>
        <w:pStyle w:val="Heading2"/>
      </w:pPr>
      <w:r>
        <w:t>Minute-by-minute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What you do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Read essential question; students write a one-line first answer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 observation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 https://vedabase.io/en/library/bg/2/22/; complete observation task below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Diagram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Label garment → body continuity map; mark the “limit” box (not a closet)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22–30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Scenario cards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Pairs work Cases 1–3 (bedtime / funeral / fatalism)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30–36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Worksheet / matching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`activities/OLDER-ACTIVITY-PACK.md`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36–40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Reflection + reunification sentence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Prepare one calm sentence for 3:10 share</w:t>
            </w:r>
          </w:p>
        </w:tc>
      </w:tr>
    </w:tbl>
    <w:p>
      <w:pPr>
        <w:spacing w:after="40"/>
      </w:pPr>
    </w:p>
    <w:p>
      <w:pPr>
        <w:pStyle w:val="Heading2"/>
      </w:pPr>
      <w:r>
        <w:t>Text-observation task (10 min)</w:t>
      </w:r>
    </w:p>
    <w:p>
      <w:r>
        <w:t>Open https://vedabase.io/en/library/bg/2/22/. Students write:</w:t>
      </w:r>
    </w:p>
    <w:p>
      <w:pPr>
        <w:pStyle w:val="ListNumber"/>
      </w:pPr>
      <w:r>
        <w:t>Who is speaking / what is the teaching setting (Kṛṣṇa to Arjuna in BG Chapter 2 — keep non-graphic)?</w:t>
      </w:r>
    </w:p>
    <w:p>
      <w:pPr>
        <w:pStyle w:val="ListNumber"/>
      </w:pPr>
      <w:r>
        <w:t>One phrase that signals continuity of the self through changing bodies.</w:t>
      </w:r>
    </w:p>
    <w:p>
      <w:pPr>
        <w:pStyle w:val="ListNumber"/>
      </w:pPr>
      <w:r>
        <w:t>One sentence paraphrase in their own words (not a long dump).</w:t>
      </w:r>
    </w:p>
    <w:p>
      <w:pPr>
        <w:pStyle w:val="ListNumber"/>
      </w:pPr>
      <w:r>
        <w:t xml:space="preserve">One thing this verse does </w:t>
      </w:r>
      <w:r>
        <w:rPr>
          <w:b/>
        </w:rPr>
        <w:t>not</w:t>
      </w:r>
      <w:r>
        <w:t xml:space="preserve"> say (e.g., does not say we shop for bodies; does not say scare children).</w:t>
      </w:r>
    </w:p>
    <w:p>
      <w:r>
        <w:t>Target paraphrase: As a person puts on new garments, giving up old ones, the embodied self similarly accepts new bodies, giving up old ones — taught calmly, without fear tactics for children.</w:t>
      </w:r>
    </w:p>
    <w:p>
      <w:pPr>
        <w:pStyle w:val="Heading2"/>
      </w:pPr>
      <w:r>
        <w:t>Diagram task</w:t>
      </w:r>
    </w:p>
    <w:p>
      <w:r>
        <w:t xml:space="preserve">On board or </w:t>
      </w:r>
      <w:r>
        <w:rPr>
          <w:rFonts w:ascii="Consolas" w:hAnsi="Consolas"/>
          <w:color w:val="7A263A"/>
          <w:sz w:val="18"/>
        </w:rPr>
        <w:t>visuals/V12/</w:t>
      </w:r>
      <w:r>
        <w:t xml:space="preserve"> materials, label:</w:t>
      </w:r>
    </w:p>
    <w:p>
      <w:pPr>
        <w:pStyle w:val="ListBullet"/>
      </w:pPr>
      <w:r>
        <w:t>Worn garment → set aside</w:t>
      </w:r>
    </w:p>
    <w:p>
      <w:pPr>
        <w:pStyle w:val="ListBullet"/>
      </w:pPr>
      <w:r>
        <w:t>New garment → accepted</w:t>
      </w:r>
    </w:p>
    <w:p>
      <w:pPr>
        <w:pStyle w:val="ListBullet"/>
      </w:pPr>
      <w:r>
        <w:t>Embodied self (</w:t>
      </w:r>
      <w:r>
        <w:rPr>
          <w:i/>
        </w:rPr>
        <w:t>dehī</w:t>
      </w:r>
      <w:r>
        <w:t>) → continues</w:t>
      </w:r>
    </w:p>
    <w:p>
      <w:pPr>
        <w:pStyle w:val="ListBullet"/>
      </w:pPr>
      <w:r>
        <w:rPr>
          <w:b/>
        </w:rPr>
        <w:t>Limit box:</w:t>
      </w:r>
      <w:r>
        <w:t xml:space="preserve"> “Not choosing from a closet / not ghost speculation / not destination diagnosis”</w:t>
      </w:r>
    </w:p>
    <w:p>
      <w:r>
        <w:t>Draw one arrow showing this week’s conclusion: the self continues; teach calmly.</w:t>
      </w:r>
    </w:p>
    <w:p>
      <w:pPr>
        <w:pStyle w:val="Heading2"/>
      </w:pPr>
      <w:r>
        <w:t>Scenario cards</w:t>
      </w:r>
    </w:p>
    <w:p>
      <w:r>
        <w:t xml:space="preserve">Use the three constructed cases inline in </w:t>
      </w:r>
      <w:r>
        <w:rPr>
          <w:rFonts w:ascii="Consolas" w:hAnsi="Consolas"/>
          <w:color w:val="7A263A"/>
          <w:sz w:val="18"/>
        </w:rPr>
        <w:t>teacher/MAIN-FACILITATOR-GUIDE-V12.md</w:t>
      </w:r>
      <w:r>
        <w:t>:</w:t>
      </w:r>
    </w:p>
    <w:p>
      <w:pPr>
        <w:pStyle w:val="ListNumber"/>
      </w:pPr>
      <w:r>
        <w:t>Child bedtime question</w:t>
      </w:r>
    </w:p>
    <w:p>
      <w:pPr>
        <w:pStyle w:val="ListNumber"/>
      </w:pPr>
      <w:r>
        <w:t>Relative funeral language</w:t>
      </w:r>
    </w:p>
    <w:p>
      <w:pPr>
        <w:pStyle w:val="ListNumber"/>
      </w:pPr>
      <w:r>
        <w:t>Teen fatalism (“nothing matters if we reincarnate”)</w:t>
      </w:r>
    </w:p>
    <w:p>
      <w:r>
        <w:t>In pairs: name the mistaken conclusion + compassionate response + better family action. Prefer Case 3 if time is short — it matches this age band’s common doubt.</w:t>
      </w:r>
    </w:p>
    <w:p>
      <w:pPr>
        <w:pStyle w:val="Heading2"/>
      </w:pPr>
      <w:r>
        <w:t>Worksheet + puzzle</w:t>
      </w:r>
    </w:p>
    <w:p>
      <w:r>
        <w:t xml:space="preserve">See </w:t>
      </w: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; grade with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</w:t>
      </w:r>
    </w:p>
    <w:p>
      <w:pPr>
        <w:pStyle w:val="Heading2"/>
      </w:pPr>
      <w:r>
        <w:t>Project contribution</w:t>
      </w:r>
    </w:p>
    <w:p>
      <w:r>
        <w:t xml:space="preserve">Advance </w:t>
      </w:r>
      <w:r>
        <w:rPr>
          <w:rFonts w:ascii="Consolas" w:hAnsi="Consolas"/>
          <w:color w:val="7A263A"/>
          <w:sz w:val="18"/>
        </w:rPr>
        <w:t>project/CYCLE-CONTRIBUTION.md</w:t>
      </w:r>
      <w:r>
        <w:t xml:space="preserve"> layer for C2-W3 (calm speech / remembrance artifact).</w:t>
      </w:r>
    </w:p>
    <w:p>
      <w:pPr>
        <w:pStyle w:val="Heading2"/>
      </w:pPr>
      <w:r>
        <w:t>Reflection prompt</w:t>
      </w:r>
    </w:p>
    <w:p>
      <w:r>
        <w:t>“Where might someone confuse the clothes analogy with ‘picking a next body’ — and how do we correct that kindly?”</w:t>
      </w:r>
    </w:p>
    <w:p>
      <w:pPr>
        <w:pStyle w:val="Heading2"/>
      </w:pPr>
      <w:r>
        <w:t>Extension</w:t>
      </w:r>
    </w:p>
    <w:p>
      <w:r>
        <w:t>Prepare reunification share sentence answering: How do we speak calmly about birth and death?</w:t>
      </w:r>
    </w:p>
    <w:p>
      <w:pPr>
        <w:pStyle w:val="Heading2"/>
      </w:pPr>
      <w:r>
        <w:t>Boundaries</w:t>
      </w:r>
    </w:p>
    <w:p>
      <w:pPr>
        <w:pStyle w:val="ListBullet"/>
      </w:pPr>
      <w:r>
        <w:t>Misconceptions to block: scare pedagogy; diagnosing destinations; ghost speculation; closet-shopping analogy abuse; reincarnation-as-fatalism.</w:t>
      </w:r>
    </w:p>
    <w:p>
      <w:pPr>
        <w:pStyle w:val="ListBullet"/>
      </w:pPr>
      <w:r>
        <w:t>BG 14.14–14.15: recognition only — full modes next week (C2-W4).</w:t>
      </w:r>
    </w:p>
    <w:p>
      <w:pPr>
        <w:pStyle w:val="ListBullet"/>
      </w:pPr>
      <w:r>
        <w:t>Science may inform calm speech pedagogy only — never prove transmigration.</w:t>
      </w:r>
    </w:p>
    <w:p>
      <w:pPr>
        <w:pStyle w:val="ListBullet"/>
      </w:pPr>
      <w:r>
        <w:t>No ranking; no forced disclosure of private grief.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