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C2-W4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Track length:</w:t>
      </w:r>
      <w:r>
        <w:t xml:space="preserve"> ~40 minutes (Saturday 2:35–3:10) </w:t>
      </w:r>
      <w:r>
        <w:rPr>
          <w:b/>
        </w:rPr>
        <w:t>Essential question:</w:t>
      </w:r>
      <w:r>
        <w:t xml:space="preserve"> Which mode is shaping this moment? </w:t>
      </w:r>
      <w:r>
        <w:rPr>
          <w:b/>
        </w:rPr>
        <w:t>Primary:</w:t>
      </w:r>
      <w:r>
        <w:t xml:space="preserve"> BG 14.5 — https://vedabase.io/en/library/bg/14/5/ </w:t>
      </w:r>
      <w:r>
        <w:rPr>
          <w:b/>
        </w:rPr>
        <w:t>Conclusion students should state:</w:t>
      </w:r>
      <w:r>
        <w:t xml:space="preserve"> Modes are changing influences that bind the embodied self; we describe conditions, not people; clarity serves bhakti, not pride.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Objective</w:t>
      </w:r>
    </w:p>
    <w:p>
      <w:r>
        <w:t xml:space="preserve">Students will (1) observe BG 14.5 on VedaBase and paraphrase the KUTUMBA teaching meaning, (2) sort scenario cards into sattva/rajas/tamas </w:t>
      </w:r>
      <w:r>
        <w:rPr>
          <w:i/>
        </w:rPr>
        <w:t>tendencies</w:t>
      </w:r>
      <w:r>
        <w:t xml:space="preserve"> without labeling persons, (3) complete a diagram and worksheet, and (4) write one reunification sentence plus a project contribution idea.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t>Teaching meaning: Goodness, passion, and ignorance — born of material nature — bind the eternal embodied self within the body.</w:t>
      </w:r>
    </w:p>
    <w:p>
      <w:pPr>
        <w:pStyle w:val="ListBullet"/>
      </w:pPr>
      <w:r>
        <w:t>Supports: BG 14.6–14.9 (tendencies + goodness trap), 14.17 (fruits), 14.26 (bhakti transcends), 17.8–10 only as non-policing food-tendency footnote if asked.</w:t>
      </w:r>
    </w:p>
    <w:p>
      <w:pPr>
        <w:pStyle w:val="ListBullet"/>
      </w:pPr>
      <w:r>
        <w:t>Misconception to interrupt immediately: using modes to shame siblings/classmates/other families.</w:t>
      </w:r>
    </w:p>
    <w:p>
      <w:pPr>
        <w:pStyle w:val="Heading2"/>
      </w:pPr>
      <w:r>
        <w:t>Materials</w:t>
      </w:r>
    </w:p>
    <w:p>
      <w:pPr>
        <w:pStyle w:val="ListBullet"/>
      </w:pPr>
      <w:r>
        <w:t>Devices or printed screenshot of https://vedabase.io/en/library/bg/14/5/ (teacher-controlled)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activities/OLDER-ACTIVITY-PACK.md</w:t>
      </w:r>
      <w:r>
        <w:t xml:space="preserve"> printables / mode-sort cards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activities/OLDER-ANSWER-KEY.md</w:t>
      </w:r>
      <w:r>
        <w:t xml:space="preserve"> (teacher only)</w:t>
      </w:r>
    </w:p>
    <w:p>
      <w:pPr>
        <w:pStyle w:val="ListBullet"/>
      </w:pPr>
      <w:r>
        <w:t>Concept diagram (</w:t>
      </w:r>
      <w:r>
        <w:rPr>
          <w:rFonts w:ascii="Consolas" w:hAnsi="Consolas"/>
          <w:color w:val="7A263A"/>
          <w:sz w:val="18"/>
        </w:rPr>
        <w:t>visuals/V12/concept-diagram.svg</w:t>
      </w:r>
      <w:r>
        <w:t xml:space="preserve"> or board copy)</w:t>
      </w:r>
    </w:p>
    <w:p>
      <w:pPr>
        <w:pStyle w:val="ListBullet"/>
      </w:pPr>
      <w:r>
        <w:t>Pencils; timer; scenario card deck (6 cards minimum)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Minute-by-minute</w:t>
      </w:r>
    </w:p>
    <w:p>
      <w:pPr>
        <w:pStyle w:val="Heading3"/>
      </w:pPr>
      <w:r>
        <w:t>0–5 — Hook</w:t>
      </w:r>
    </w:p>
    <w:p>
      <w:r>
        <w:t>Show three evening captions (calm ordered / multi-screen rush / neglected dull). Ask: “Same family—what changed?” Collect condition words only. Post essential question.</w:t>
      </w:r>
    </w:p>
    <w:p>
      <w:pPr>
        <w:pStyle w:val="Heading3"/>
      </w:pPr>
      <w:r>
        <w:t>5–12 — Primary text observation</w:t>
      </w:r>
    </w:p>
    <w:p>
      <w:r>
        <w:t>Students open or view BG 14.5 and complete four lines in notebooks:</w:t>
      </w:r>
    </w:p>
    <w:p>
      <w:pPr>
        <w:pStyle w:val="ListNumber"/>
      </w:pPr>
      <w:r>
        <w:rPr>
          <w:b/>
        </w:rPr>
        <w:t>Setting:</w:t>
      </w:r>
      <w:r>
        <w:t xml:space="preserve"> Kṛṣṇa teaching Arjuna in the Gītā (Chapter 14).</w:t>
      </w:r>
    </w:p>
    <w:p>
      <w:pPr>
        <w:pStyle w:val="ListNumber"/>
      </w:pPr>
      <w:r>
        <w:rPr>
          <w:b/>
        </w:rPr>
        <w:t>Key Sanskrit/IAST phrase they notice</w:t>
      </w:r>
      <w:r>
        <w:t xml:space="preserve"> (e.g., </w:t>
      </w:r>
      <w:r>
        <w:rPr>
          <w:i/>
        </w:rPr>
        <w:t>guṇāḥ prakṛti-sambhavāḥ</w:t>
      </w:r>
      <w:r>
        <w:t xml:space="preserve"> or </w:t>
      </w:r>
      <w:r>
        <w:rPr>
          <w:i/>
        </w:rPr>
        <w:t>nibadhnanti</w:t>
      </w:r>
      <w:r>
        <w:t>).</w:t>
      </w:r>
    </w:p>
    <w:p>
      <w:pPr>
        <w:pStyle w:val="ListNumber"/>
      </w:pPr>
      <w:r>
        <w:rPr>
          <w:b/>
        </w:rPr>
        <w:t>Paraphrase (KUTUMBA teaching meaning):</w:t>
      </w:r>
      <w:r>
        <w:t xml:space="preserve"> Goodness, passion, and ignorance — born of material nature — bind the eternal embodied self within the body.</w:t>
      </w:r>
    </w:p>
    <w:p>
      <w:pPr>
        <w:pStyle w:val="ListNumber"/>
      </w:pPr>
      <w:r>
        <w:t xml:space="preserve">**What it does </w:t>
      </w:r>
      <w:r>
        <w:rPr>
          <w:i/>
        </w:rPr>
        <w:t>not</w:t>
      </w:r>
      <w:r>
        <w:t xml:space="preserve"> say:** That we should nickname people as modes.</w:t>
      </w:r>
    </w:p>
    <w:p>
      <w:r>
        <w:t>Teacher checks paraphrases against answer key; corrects invented verse numbers.</w:t>
      </w:r>
    </w:p>
    <w:p>
      <w:pPr>
        <w:pStyle w:val="Heading3"/>
      </w:pPr>
      <w:r>
        <w:t>12–18 — Worksheet questions (from activity pack)</w:t>
      </w:r>
    </w:p>
    <w:p>
      <w:r>
        <w:t>Students answer:</w:t>
      </w:r>
    </w:p>
    <w:p>
      <w:pPr>
        <w:pStyle w:val="ListBullet"/>
      </w:pPr>
      <w:r>
        <w:t>One tendency of each mode (from BG 14.6–9 / 14.17 sense).</w:t>
      </w:r>
    </w:p>
    <w:p>
      <w:pPr>
        <w:pStyle w:val="ListBullet"/>
      </w:pPr>
      <w:r>
        <w:t>Why goodness can still bind (BG 14.6).</w:t>
      </w:r>
    </w:p>
    <w:p>
      <w:pPr>
        <w:pStyle w:val="ListBullet"/>
      </w:pPr>
      <w:r>
        <w:t>How BG 14.26 redirects pride.</w:t>
      </w:r>
    </w:p>
    <w:p>
      <w:pPr>
        <w:pStyle w:val="Heading3"/>
      </w:pPr>
      <w:r>
        <w:t>18–26 — Scenario cards + mode_sort puzzle</w:t>
      </w:r>
    </w:p>
    <w:p>
      <w:r>
        <w:t xml:space="preserve">In pairs, sort six short scenarios into three columns: clarifying / restless-craving / dull-covering. </w:t>
      </w:r>
      <w:r>
        <w:rPr>
          <w:b/>
        </w:rPr>
        <w:t>Rule card on table:</w:t>
      </w:r>
      <w:r>
        <w:t xml:space="preserve"> “Sort the </w:t>
      </w:r>
      <w:r>
        <w:rPr>
          <w:i/>
        </w:rPr>
        <w:t>situation</w:t>
      </w:r>
      <w:r>
        <w:t>, not the person.” Teacher circulates; flips any “Rahul is tamas” talk back to condition language. One group shares a sort aloud; class may challenge kindly with evidence from tendencies.</w:t>
      </w:r>
    </w:p>
    <w:p>
      <w:pPr>
        <w:pStyle w:val="Heading3"/>
      </w:pPr>
      <w:r>
        <w:t>26–32 — Diagram task</w:t>
      </w:r>
    </w:p>
    <w:p>
      <w:r>
        <w:t>On the concept diagram, label:</w:t>
      </w:r>
    </w:p>
    <w:p>
      <w:pPr>
        <w:pStyle w:val="ListBullet"/>
      </w:pPr>
      <w:r>
        <w:t>Three modes</w:t>
      </w:r>
    </w:p>
    <w:p>
      <w:pPr>
        <w:pStyle w:val="ListBullet"/>
      </w:pPr>
      <w:r>
        <w:t>“Bind the embodied self”</w:t>
      </w:r>
    </w:p>
    <w:p>
      <w:pPr>
        <w:pStyle w:val="ListBullet"/>
      </w:pPr>
      <w:r>
        <w:t>Arrow to “bhakti transcends (BG 14.26)”</w:t>
      </w:r>
    </w:p>
    <w:p>
      <w:pPr>
        <w:pStyle w:val="ListBullet"/>
      </w:pPr>
      <w:r>
        <w:t>Red “X” on “label people”</w:t>
      </w:r>
    </w:p>
    <w:p>
      <w:pPr>
        <w:pStyle w:val="Heading3"/>
      </w:pPr>
      <w:r>
        <w:t>32–36 — Project contribution + reflection</w:t>
      </w:r>
    </w:p>
    <w:p>
      <w:pPr>
        <w:pStyle w:val="ListBullet"/>
      </w:pPr>
      <w:r>
        <w:t>Write one evening redesign: remove / add / move earlier / simplify.</w:t>
      </w:r>
    </w:p>
    <w:p>
      <w:pPr>
        <w:pStyle w:val="ListBullet"/>
      </w:pPr>
      <w:r>
        <w:t>Reflection sentence: “An analogy helps me picture modes, but scripture is the authority because…”</w:t>
      </w:r>
    </w:p>
    <w:p>
      <w:pPr>
        <w:pStyle w:val="ListBullet"/>
      </w:pPr>
      <w:r>
        <w:t>Extension (fast finishers): How would food-tendency talk stay kind under BG 17.8–10 without policing allergies/budgets?</w:t>
      </w:r>
    </w:p>
    <w:p>
      <w:pPr>
        <w:pStyle w:val="Heading3"/>
      </w:pPr>
      <w:r>
        <w:t>36–40 — Reunification sentence + cleanup</w:t>
      </w:r>
    </w:p>
    <w:p>
      <w:r>
        <w:t>Each student drafts one sentence to share upstairs, e.g.: “Modes change; we reset the room so we can hear, without calling people names.” Stack materials; teacher keeps answer key private.</w:t>
      </w:r>
    </w:p>
    <w:p>
      <w:pPr>
        <w:pStyle w:val="Heading2"/>
      </w:pPr>
      <w:r>
        <w:t>Answer key pointer</w:t>
      </w:r>
    </w:p>
    <w:p>
      <w:r>
        <w:t xml:space="preserve">Use </w:t>
      </w:r>
      <w:r>
        <w:rPr>
          <w:rFonts w:ascii="Consolas" w:hAnsi="Consolas"/>
          <w:color w:val="7A263A"/>
          <w:sz w:val="18"/>
        </w:rPr>
        <w:t>activities/OLDER-ANSWER-KEY.md</w:t>
      </w:r>
      <w:r>
        <w:t xml:space="preserve"> for paraphrase targets and reject lists. Do not distribute the key to students.</w:t>
      </w:r>
    </w:p>
    <w:p>
      <w:pPr>
        <w:pStyle w:val="Heading2"/>
      </w:pPr>
      <w:r>
        <w:t>Behavior / speech ethics</w:t>
      </w:r>
    </w:p>
    <w:p>
      <w:pPr>
        <w:pStyle w:val="ListBullet"/>
      </w:pPr>
      <w:r>
        <w:t>Interrupt mode-labeling of peers in one calm sentence.</w:t>
      </w:r>
    </w:p>
    <w:p>
      <w:pPr>
        <w:pStyle w:val="ListBullet"/>
      </w:pPr>
      <w:r>
        <w:t>No confession pressure about home mess.</w:t>
      </w:r>
    </w:p>
    <w:p>
      <w:pPr>
        <w:pStyle w:val="ListBullet"/>
      </w:pPr>
      <w:r>
        <w:t>Privacy: no ranking families’ “scores.”</w:t>
      </w:r>
    </w:p>
    <w:p>
      <w:pPr>
        <w:pStyle w:val="Heading2"/>
      </w:pPr>
      <w:r>
        <w:t>Backup if tech fails</w:t>
      </w:r>
    </w:p>
    <w:p>
      <w:r>
        <w:t>Teacher reads IAST aloud from verse card; students write paraphrase from dictation; card sort continues offline.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C2-W4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